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pPr>
      <w:r>
        <w:t>BUSINESS PLAN</w:t>
      </w:r>
      <w:r>
        <w:br/>
      </w:r>
      <w:r>
        <w:t>Rise and Rebuild Initiative (RRI)</w:t>
      </w:r>
    </w:p>
    <w:p>
      <w:pPr>
        <w:pStyle w:val="style0"/>
        <w:rPr/>
      </w:pPr>
      <w:r>
        <w:br/>
      </w:r>
      <w:r>
        <w:t>Supporting Orphans and Vulnerable Children Through Education and Basic Needs Assistance</w:t>
      </w:r>
      <w:r>
        <w:br/>
      </w:r>
      <w:r>
        <w:t>Belgut Sub-County, Kericho County, Kenya</w:t>
      </w:r>
      <w:r>
        <w:br/>
      </w:r>
      <w:r>
        <w:br/>
      </w:r>
      <w:r>
        <w:t>1. Executive Summary</w:t>
      </w:r>
      <w:r>
        <w:br/>
      </w:r>
      <w:r>
        <w:t>Rise and Rebuild Initiative (RRI) is a community-based organization dedicated to supporting orphans and vulnerable children by ensuring access to education and essential basic needs. Our primary objective is to reduce school dropout rates caused by poverty and protect children from risks such as child labor, early marriage, and long-term deprivation.</w:t>
      </w:r>
      <w:r>
        <w:br/>
      </w:r>
      <w:r>
        <w:br/>
      </w:r>
      <w:r>
        <w:t>2. Problem Statement</w:t>
      </w:r>
      <w:r>
        <w:br/>
      </w:r>
      <w:r>
        <w:t>In rural Belgut Sub-County, many children are unable to attend or remain in school due to extreme poverty. Common barriers include inability to pay school fees, lack of uniforms and shoes, absence of learning materials, food insecurity, and limited guardian income.</w:t>
      </w:r>
      <w:r>
        <w:br/>
      </w:r>
      <w:r>
        <w:br/>
      </w:r>
      <w:r>
        <w:t>3. Mission</w:t>
      </w:r>
      <w:r>
        <w:br/>
      </w:r>
      <w:r>
        <w:t>To restore hope and opportunity for orphans and vulnerable children by ensuring access to education, essential needs, and consistent mentorship support.</w:t>
      </w:r>
      <w:r>
        <w:br/>
      </w:r>
      <w:r>
        <w:br/>
      </w:r>
      <w:r>
        <w:t>4. Programs and Services</w:t>
      </w:r>
      <w:r>
        <w:br/>
      </w:r>
      <w:r>
        <w:t>Education Support Program: school fees, uniforms, learning materials, reintegration of dropouts.</w:t>
      </w:r>
      <w:r>
        <w:br/>
      </w:r>
      <w:r>
        <w:t>Basic Needs Assistance: clothing, hygiene supplies, food assistance, emergency support.</w:t>
      </w:r>
      <w:r>
        <w:br/>
      </w:r>
      <w:r>
        <w:t>Monitoring &amp; Mentorship: home visits, attendance tracking, guardian engagement, emotional support.</w:t>
      </w:r>
      <w:r>
        <w:br/>
      </w:r>
      <w:r>
        <w:br/>
      </w:r>
      <w:r>
        <w:t>5. Target Beneficiaries</w:t>
      </w:r>
      <w:r>
        <w:br/>
      </w:r>
      <w:r>
        <w:t>Orphans, children from extremely low-income households, elderly caregivers, at-risk children.</w:t>
      </w:r>
      <w:r>
        <w:br/>
      </w:r>
      <w:r>
        <w:br/>
      </w:r>
      <w:r>
        <w:t>6. Implementation Strategy</w:t>
      </w:r>
      <w:r>
        <w:br/>
      </w:r>
      <w:r>
        <w:t>Identification, assessment, direct payments, monitoring, and follow-ups.</w:t>
      </w:r>
      <w:r>
        <w:br/>
      </w:r>
      <w:r>
        <w:br/>
      </w:r>
      <w:r>
        <w:t>7. Budget Overview (Annual)</w:t>
      </w:r>
      <w:r>
        <w:br/>
      </w:r>
      <w:r>
        <w:t>School Fees: USD 12,500</w:t>
      </w:r>
      <w:r>
        <w:br/>
      </w:r>
      <w:r>
        <w:t>Uniforms &amp; Materials: USD 5,000</w:t>
      </w:r>
      <w:r>
        <w:br/>
      </w:r>
      <w:r>
        <w:t>Food &amp; Hygiene: USD 3,500</w:t>
      </w:r>
      <w:r>
        <w:br/>
      </w:r>
      <w:r>
        <w:t>Monitoring &amp; Admin: USD 2,000</w:t>
      </w:r>
      <w:r>
        <w:br/>
      </w:r>
      <w:r>
        <w:t>Emergency Fund: USD 2,000</w:t>
      </w:r>
      <w:r>
        <w:br/>
      </w:r>
      <w:r>
        <w:t>Total: USD 25,000</w:t>
      </w:r>
      <w:r>
        <w:br/>
      </w:r>
      <w:r>
        <w:br/>
      </w:r>
      <w:r>
        <w:t>8. Sustainability Plan</w:t>
      </w:r>
      <w:r>
        <w:br/>
      </w:r>
      <w:r>
        <w:t>Donor partnerships, sponsorships, church &amp; corporate partnerships, community fundraising.</w:t>
      </w:r>
      <w:r>
        <w:br/>
      </w:r>
      <w:r>
        <w:br/>
      </w:r>
      <w:r>
        <w:t>9. Organizational Commitment</w:t>
      </w:r>
      <w:r>
        <w:br/>
      </w:r>
      <w:r>
        <w:t>RRI is committed to ensuring no child is denied education because of poverty.</w:t>
      </w:r>
      <w:r>
        <w:br/>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8f3d1d1-eecf-412d-95a6-a571bb1e78b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4a9cd60-4381-4c3d-a109-bc09d6f53725"/>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b3d5be7c-c433-4a52-bf3e-638a649290f4"/>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4a681ff5-7946-4d14-9bb6-836b51fffeb4"/>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e0cf7c17-8b1b-4404-a31b-ab9b2ef39dc0"/>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e817b2a8-a5bc-45b3-9f58-c28fee254b3f"/>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ccf2723c-8426-4374-9a4e-64c35037ba44"/>
    <w:basedOn w:val="style65"/>
    <w:next w:val="style4108"/>
    <w:link w:val="style180"/>
    <w:uiPriority w:val="29"/>
    <w:rPr>
      <w:i/>
      <w:iCs/>
      <w:color w:val="000000"/>
    </w:rPr>
  </w:style>
  <w:style w:type="character" w:customStyle="1" w:styleId="style4109">
    <w:name w:val="Heading 4 Char_33e40cd2-7769-4eae-af4c-a6a2dd7f64a0"/>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3050c9fd-81a7-408b-ac01-416e99e60b19"/>
    <w:basedOn w:val="style65"/>
    <w:next w:val="style4110"/>
    <w:link w:val="style5"/>
    <w:uiPriority w:val="9"/>
    <w:rPr>
      <w:rFonts w:ascii="Calibri" w:cs="宋体" w:eastAsia="ＭＳ ゴシック" w:hAnsi="Calibri"/>
      <w:color w:val="243f60"/>
    </w:rPr>
  </w:style>
  <w:style w:type="character" w:customStyle="1" w:styleId="style4111">
    <w:name w:val="Heading 6 Char_8da1b778-c046-4318-a2cb-8964d97ba026"/>
    <w:basedOn w:val="style65"/>
    <w:next w:val="style4111"/>
    <w:link w:val="style6"/>
    <w:uiPriority w:val="9"/>
    <w:rPr>
      <w:rFonts w:ascii="Calibri" w:cs="宋体" w:eastAsia="ＭＳ ゴシック" w:hAnsi="Calibri"/>
      <w:i/>
      <w:iCs/>
      <w:color w:val="243f60"/>
    </w:rPr>
  </w:style>
  <w:style w:type="character" w:customStyle="1" w:styleId="style4112">
    <w:name w:val="Heading 7 Char_0619bbd6-4ffe-4f65-8963-73c762a007a4"/>
    <w:basedOn w:val="style65"/>
    <w:next w:val="style4112"/>
    <w:link w:val="style7"/>
    <w:uiPriority w:val="9"/>
    <w:rPr>
      <w:rFonts w:ascii="Calibri" w:cs="宋体" w:eastAsia="ＭＳ ゴシック" w:hAnsi="Calibri"/>
      <w:i/>
      <w:iCs/>
      <w:color w:val="404040"/>
    </w:rPr>
  </w:style>
  <w:style w:type="character" w:customStyle="1" w:styleId="style4113">
    <w:name w:val="Heading 8 Char_5a1ca4da-edc1-4ed6-bd7b-3dc04caf5dac"/>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46e2ebce-2257-4c75-813d-cab812a41bed"/>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b4e2ec51-52e0-46c3-83d3-bb50ead455d3"/>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261</Words>
  <Pages>1</Pages>
  <Characters>1672</Characters>
  <Application>WPS Office</Application>
  <DocSecurity>0</DocSecurity>
  <Paragraphs>2</Paragraphs>
  <ScaleCrop>false</ScaleCrop>
  <LinksUpToDate>false</LinksUpToDate>
  <CharactersWithSpaces>1942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TECNO KM5</lastModifiedBy>
  <dcterms:modified xsi:type="dcterms:W3CDTF">2026-02-21T08:34:21Z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d9c060e2f797458eb11c5a1219c77908</vt:lpwstr>
  </property>
</Properties>
</file>