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B89" w:rsidRPr="00830B89" w:rsidRDefault="00830B89" w:rsidP="00830B89"/>
    <w:p w:rsidR="00830B89" w:rsidRPr="00830B89" w:rsidRDefault="006B3B86" w:rsidP="006B3B86">
      <w:pPr>
        <w:pStyle w:val="NormalWeb"/>
        <w:jc w:val="center"/>
      </w:pPr>
      <w:r>
        <w:rPr>
          <w:noProof/>
        </w:rPr>
        <w:drawing>
          <wp:inline distT="0" distB="0" distL="0" distR="0" wp14:anchorId="68A9D1AE" wp14:editId="3756E80C">
            <wp:extent cx="2019300" cy="1457325"/>
            <wp:effectExtent l="0" t="0" r="0" b="9525"/>
            <wp:docPr id="2" name="Picture 2" descr="E:\All BHA\Better Hands Association-The Gambi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ll BHA\Better Hands Association-The Gambia\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457325"/>
                    </a:xfrm>
                    <a:prstGeom prst="rect">
                      <a:avLst/>
                    </a:prstGeom>
                    <a:noFill/>
                    <a:ln>
                      <a:noFill/>
                    </a:ln>
                  </pic:spPr>
                </pic:pic>
              </a:graphicData>
            </a:graphic>
          </wp:inline>
        </w:drawing>
      </w:r>
    </w:p>
    <w:p w:rsidR="00830B89" w:rsidRPr="00830B89" w:rsidRDefault="00830B89" w:rsidP="00830B89">
      <w:pPr>
        <w:rPr>
          <w:rFonts w:ascii="Times New Roman" w:hAnsi="Times New Roman" w:cs="Times New Roman"/>
          <w:b/>
          <w:sz w:val="24"/>
          <w:szCs w:val="24"/>
        </w:rPr>
      </w:pPr>
      <w:r w:rsidRPr="00830B89">
        <w:rPr>
          <w:rFonts w:ascii="Times New Roman" w:hAnsi="Times New Roman" w:cs="Times New Roman"/>
          <w:b/>
          <w:sz w:val="24"/>
          <w:szCs w:val="24"/>
        </w:rPr>
        <w:t>SUMMARY PROJECT PROPOSAL</w:t>
      </w:r>
    </w:p>
    <w:tbl>
      <w:tblPr>
        <w:tblStyle w:val="TableGrid"/>
        <w:tblW w:w="0" w:type="auto"/>
        <w:tblLook w:val="04A0" w:firstRow="1" w:lastRow="0" w:firstColumn="1" w:lastColumn="0" w:noHBand="0" w:noVBand="1"/>
      </w:tblPr>
      <w:tblGrid>
        <w:gridCol w:w="3422"/>
        <w:gridCol w:w="5928"/>
      </w:tblGrid>
      <w:tr w:rsidR="00830B89" w:rsidRPr="00830B89" w:rsidTr="00540269">
        <w:tc>
          <w:tcPr>
            <w:tcW w:w="3422" w:type="dxa"/>
            <w:shd w:val="clear" w:color="auto" w:fill="C6D9F1" w:themeFill="text2" w:themeFillTint="33"/>
          </w:tcPr>
          <w:p w:rsidR="00830B89" w:rsidRPr="00830B89" w:rsidRDefault="00830B89" w:rsidP="00830B89">
            <w:pPr>
              <w:rPr>
                <w:rFonts w:ascii="Times New Roman" w:eastAsia="SimSun" w:hAnsi="Times New Roman" w:cs="Times New Roman"/>
                <w:b/>
                <w:bCs/>
                <w:sz w:val="24"/>
                <w:szCs w:val="24"/>
              </w:rPr>
            </w:pPr>
            <w:r w:rsidRPr="00830B89">
              <w:rPr>
                <w:rFonts w:ascii="Times New Roman" w:eastAsia="SimSun" w:hAnsi="Times New Roman" w:cs="Times New Roman"/>
                <w:b/>
                <w:bCs/>
                <w:sz w:val="24"/>
                <w:szCs w:val="24"/>
              </w:rPr>
              <w:t>Project Title</w:t>
            </w:r>
          </w:p>
          <w:p w:rsidR="00830B89" w:rsidRPr="00830B89" w:rsidRDefault="00830B89" w:rsidP="00830B89">
            <w:pPr>
              <w:rPr>
                <w:sz w:val="24"/>
                <w:szCs w:val="24"/>
              </w:rPr>
            </w:pPr>
          </w:p>
        </w:tc>
        <w:tc>
          <w:tcPr>
            <w:tcW w:w="5928" w:type="dxa"/>
          </w:tcPr>
          <w:p w:rsidR="00830B89" w:rsidRPr="00830B89" w:rsidRDefault="00C61E1E" w:rsidP="00830B89">
            <w:pPr>
              <w:rPr>
                <w:rFonts w:ascii="Times New Roman" w:hAnsi="Times New Roman" w:cs="Times New Roman"/>
                <w:sz w:val="24"/>
                <w:szCs w:val="24"/>
              </w:rPr>
            </w:pPr>
            <w:r w:rsidRPr="00C61E1E">
              <w:rPr>
                <w:rFonts w:ascii="Times New Roman" w:hAnsi="Times New Roman" w:cs="Times New Roman"/>
                <w:color w:val="0D0D0D"/>
                <w:sz w:val="24"/>
                <w:szCs w:val="24"/>
                <w:shd w:val="clear" w:color="auto" w:fill="FFFFFF"/>
              </w:rPr>
              <w:t xml:space="preserve">From Streets to Schools: A </w:t>
            </w:r>
            <w:r w:rsidR="001B4EF6">
              <w:rPr>
                <w:rFonts w:ascii="Times New Roman" w:hAnsi="Times New Roman" w:cs="Times New Roman"/>
                <w:color w:val="0D0D0D"/>
                <w:sz w:val="24"/>
                <w:szCs w:val="24"/>
                <w:shd w:val="clear" w:color="auto" w:fill="FFFFFF"/>
              </w:rPr>
              <w:t xml:space="preserve">Children </w:t>
            </w:r>
            <w:r w:rsidRPr="00C61E1E">
              <w:rPr>
                <w:rFonts w:ascii="Times New Roman" w:hAnsi="Times New Roman" w:cs="Times New Roman"/>
                <w:color w:val="0D0D0D"/>
                <w:sz w:val="24"/>
                <w:szCs w:val="24"/>
                <w:shd w:val="clear" w:color="auto" w:fill="FFFFFF"/>
              </w:rPr>
              <w:t>Transformative Approach to Education</w:t>
            </w:r>
            <w:r w:rsidR="006B3B86">
              <w:rPr>
                <w:rFonts w:ascii="Times New Roman" w:hAnsi="Times New Roman" w:cs="Times New Roman"/>
                <w:color w:val="0D0D0D"/>
                <w:sz w:val="24"/>
                <w:szCs w:val="24"/>
                <w:shd w:val="clear" w:color="auto" w:fill="FFFFFF"/>
              </w:rPr>
              <w:t xml:space="preserve"> in The Gambia</w:t>
            </w:r>
          </w:p>
        </w:tc>
      </w:tr>
      <w:tr w:rsidR="00C61E1E" w:rsidRPr="00830B89" w:rsidTr="00540269">
        <w:tc>
          <w:tcPr>
            <w:tcW w:w="3422" w:type="dxa"/>
            <w:shd w:val="clear" w:color="auto" w:fill="C6D9F1" w:themeFill="text2" w:themeFillTint="33"/>
          </w:tcPr>
          <w:p w:rsidR="0044400D" w:rsidRDefault="0044400D" w:rsidP="0044400D">
            <w:pPr>
              <w:rPr>
                <w:rFonts w:ascii="Times New Roman" w:eastAsia="SimSun" w:hAnsi="Times New Roman" w:cs="Times New Roman"/>
                <w:b/>
                <w:bCs/>
                <w:sz w:val="24"/>
                <w:szCs w:val="24"/>
              </w:rPr>
            </w:pPr>
            <w:r>
              <w:rPr>
                <w:rFonts w:ascii="Times New Roman" w:eastAsia="SimSun" w:hAnsi="Times New Roman" w:cs="Times New Roman"/>
                <w:b/>
                <w:bCs/>
                <w:sz w:val="24"/>
                <w:szCs w:val="24"/>
              </w:rPr>
              <w:t>Pr</w:t>
            </w:r>
            <w:r w:rsidR="006B3B86">
              <w:rPr>
                <w:rFonts w:ascii="Times New Roman" w:eastAsia="SimSun" w:hAnsi="Times New Roman" w:cs="Times New Roman"/>
                <w:b/>
                <w:bCs/>
                <w:sz w:val="24"/>
                <w:szCs w:val="24"/>
              </w:rPr>
              <w:t>oject Contact Persons in Gambia</w:t>
            </w:r>
            <w:r>
              <w:rPr>
                <w:rFonts w:ascii="Times New Roman" w:eastAsia="SimSun" w:hAnsi="Times New Roman" w:cs="Times New Roman"/>
                <w:b/>
                <w:bCs/>
                <w:sz w:val="24"/>
                <w:szCs w:val="24"/>
              </w:rPr>
              <w:t xml:space="preserve"> and contact address</w:t>
            </w:r>
          </w:p>
          <w:p w:rsidR="00C61E1E" w:rsidRDefault="00C61E1E" w:rsidP="00830B89">
            <w:pPr>
              <w:rPr>
                <w:rFonts w:ascii="Times New Roman" w:eastAsia="SimSun" w:hAnsi="Times New Roman" w:cs="Times New Roman"/>
                <w:b/>
                <w:bCs/>
                <w:sz w:val="24"/>
                <w:szCs w:val="24"/>
              </w:rPr>
            </w:pPr>
          </w:p>
          <w:p w:rsidR="0044400D" w:rsidRPr="00830B89" w:rsidRDefault="0044400D" w:rsidP="00830B89">
            <w:pPr>
              <w:rPr>
                <w:rFonts w:ascii="Times New Roman" w:eastAsia="SimSun" w:hAnsi="Times New Roman" w:cs="Times New Roman"/>
                <w:b/>
                <w:bCs/>
                <w:sz w:val="24"/>
                <w:szCs w:val="24"/>
              </w:rPr>
            </w:pPr>
          </w:p>
        </w:tc>
        <w:tc>
          <w:tcPr>
            <w:tcW w:w="5928" w:type="dxa"/>
          </w:tcPr>
          <w:p w:rsidR="008A3921" w:rsidRDefault="008A3921" w:rsidP="006B3B86">
            <w:pPr>
              <w:rPr>
                <w:rFonts w:ascii="Helvetica" w:hAnsi="Helvetica"/>
                <w:color w:val="222222"/>
                <w:sz w:val="21"/>
                <w:szCs w:val="21"/>
                <w:shd w:val="clear" w:color="auto" w:fill="FFFFFF"/>
              </w:rPr>
            </w:pPr>
            <w:proofErr w:type="spellStart"/>
            <w:r>
              <w:rPr>
                <w:rFonts w:ascii="Helvetica" w:hAnsi="Helvetica"/>
                <w:color w:val="222222"/>
                <w:sz w:val="21"/>
                <w:szCs w:val="21"/>
                <w:shd w:val="clear" w:color="auto" w:fill="FFFFFF"/>
              </w:rPr>
              <w:t>Sarib</w:t>
            </w:r>
            <w:proofErr w:type="spellEnd"/>
            <w:r>
              <w:rPr>
                <w:rFonts w:ascii="Helvetica" w:hAnsi="Helvetica"/>
                <w:color w:val="222222"/>
                <w:sz w:val="21"/>
                <w:szCs w:val="21"/>
                <w:shd w:val="clear" w:color="auto" w:fill="FFFFFF"/>
              </w:rPr>
              <w:t xml:space="preserve"> </w:t>
            </w:r>
            <w:proofErr w:type="spellStart"/>
            <w:r>
              <w:rPr>
                <w:rFonts w:ascii="Helvetica" w:hAnsi="Helvetica"/>
                <w:color w:val="222222"/>
                <w:sz w:val="21"/>
                <w:szCs w:val="21"/>
                <w:shd w:val="clear" w:color="auto" w:fill="FFFFFF"/>
              </w:rPr>
              <w:t>Saidy</w:t>
            </w:r>
            <w:proofErr w:type="spellEnd"/>
          </w:p>
          <w:p w:rsidR="008A3921" w:rsidRDefault="008A3921" w:rsidP="006B3B86">
            <w:pPr>
              <w:rPr>
                <w:rFonts w:ascii="Helvetica" w:hAnsi="Helvetica"/>
                <w:color w:val="222222"/>
                <w:sz w:val="21"/>
                <w:szCs w:val="21"/>
                <w:shd w:val="clear" w:color="auto" w:fill="FFFFFF"/>
              </w:rPr>
            </w:pPr>
            <w:r>
              <w:rPr>
                <w:rFonts w:ascii="Helvetica" w:hAnsi="Helvetica"/>
                <w:color w:val="222222"/>
                <w:sz w:val="21"/>
                <w:szCs w:val="21"/>
                <w:shd w:val="clear" w:color="auto" w:fill="FFFFFF"/>
              </w:rPr>
              <w:t>Executive Director</w:t>
            </w:r>
            <w:r w:rsidR="00331CD2">
              <w:rPr>
                <w:rFonts w:ascii="Helvetica" w:hAnsi="Helvetica"/>
                <w:color w:val="222222"/>
                <w:sz w:val="21"/>
                <w:szCs w:val="21"/>
                <w:shd w:val="clear" w:color="auto" w:fill="FFFFFF"/>
              </w:rPr>
              <w:t xml:space="preserve"> </w:t>
            </w:r>
          </w:p>
          <w:p w:rsidR="008A3921" w:rsidRDefault="008A3921" w:rsidP="006B3B86">
            <w:pPr>
              <w:rPr>
                <w:rFonts w:ascii="Helvetica" w:hAnsi="Helvetica"/>
                <w:color w:val="222222"/>
                <w:sz w:val="21"/>
                <w:szCs w:val="21"/>
                <w:shd w:val="clear" w:color="auto" w:fill="FFFFFF"/>
              </w:rPr>
            </w:pPr>
          </w:p>
          <w:p w:rsidR="008A3921" w:rsidRPr="008A3921" w:rsidRDefault="008A3921" w:rsidP="008A3921">
            <w:pPr>
              <w:rPr>
                <w:shd w:val="clear" w:color="auto" w:fill="FFFFFF"/>
              </w:rPr>
            </w:pPr>
            <w:r w:rsidRPr="008A3921">
              <w:rPr>
                <w:shd w:val="clear" w:color="auto" w:fill="FFFFFF"/>
              </w:rPr>
              <w:t xml:space="preserve">1 </w:t>
            </w:r>
            <w:proofErr w:type="spellStart"/>
            <w:r w:rsidRPr="008A3921">
              <w:rPr>
                <w:shd w:val="clear" w:color="auto" w:fill="FFFFFF"/>
              </w:rPr>
              <w:t>Kairaba</w:t>
            </w:r>
            <w:proofErr w:type="spellEnd"/>
            <w:r w:rsidRPr="008A3921">
              <w:rPr>
                <w:shd w:val="clear" w:color="auto" w:fill="FFFFFF"/>
              </w:rPr>
              <w:t xml:space="preserve"> Avenue </w:t>
            </w:r>
            <w:r w:rsidRPr="008A3921">
              <w:br/>
            </w:r>
            <w:proofErr w:type="spellStart"/>
            <w:r w:rsidRPr="008A3921">
              <w:rPr>
                <w:shd w:val="clear" w:color="auto" w:fill="FFFFFF"/>
              </w:rPr>
              <w:t>Serekunda</w:t>
            </w:r>
            <w:proofErr w:type="spellEnd"/>
            <w:r w:rsidRPr="008A3921">
              <w:rPr>
                <w:shd w:val="clear" w:color="auto" w:fill="FFFFFF"/>
              </w:rPr>
              <w:t xml:space="preserve"> </w:t>
            </w:r>
          </w:p>
          <w:p w:rsidR="008A3921" w:rsidRPr="008A3921" w:rsidRDefault="008A3921" w:rsidP="008A3921">
            <w:pPr>
              <w:rPr>
                <w:shd w:val="clear" w:color="auto" w:fill="FFFFFF"/>
              </w:rPr>
            </w:pPr>
            <w:proofErr w:type="spellStart"/>
            <w:r w:rsidRPr="008A3921">
              <w:rPr>
                <w:shd w:val="clear" w:color="auto" w:fill="FFFFFF"/>
              </w:rPr>
              <w:t>Kanifing</w:t>
            </w:r>
            <w:proofErr w:type="spellEnd"/>
            <w:r w:rsidRPr="008A3921">
              <w:rPr>
                <w:shd w:val="clear" w:color="auto" w:fill="FFFFFF"/>
              </w:rPr>
              <w:t xml:space="preserve"> Municipal Council </w:t>
            </w:r>
            <w:r w:rsidRPr="008A3921">
              <w:br/>
            </w:r>
            <w:r w:rsidRPr="008A3921">
              <w:rPr>
                <w:shd w:val="clear" w:color="auto" w:fill="FFFFFF"/>
              </w:rPr>
              <w:t>The Gambia</w:t>
            </w:r>
          </w:p>
          <w:p w:rsidR="008A3921" w:rsidRPr="008A3921" w:rsidRDefault="008A3921" w:rsidP="008A3921">
            <w:pPr>
              <w:rPr>
                <w:shd w:val="clear" w:color="auto" w:fill="FFFFFF"/>
              </w:rPr>
            </w:pPr>
            <w:r w:rsidRPr="008A3921">
              <w:rPr>
                <w:shd w:val="clear" w:color="auto" w:fill="FFFFFF"/>
              </w:rPr>
              <w:t xml:space="preserve">Website: </w:t>
            </w:r>
            <w:hyperlink r:id="rId6" w:history="1">
              <w:r w:rsidRPr="008A3921">
                <w:rPr>
                  <w:rFonts w:ascii="Times New Roman" w:hAnsi="Times New Roman" w:cs="Times New Roman"/>
                  <w:color w:val="0000FF" w:themeColor="hyperlink"/>
                  <w:sz w:val="24"/>
                  <w:szCs w:val="24"/>
                  <w:u w:val="single"/>
                  <w:shd w:val="clear" w:color="auto" w:fill="FFFFFF"/>
                </w:rPr>
                <w:t>https://bhagambia.org/</w:t>
              </w:r>
            </w:hyperlink>
          </w:p>
          <w:p w:rsidR="008A3921" w:rsidRPr="008A3921" w:rsidRDefault="008A3921" w:rsidP="008A3921">
            <w:r w:rsidRPr="008A3921">
              <w:rPr>
                <w:shd w:val="clear" w:color="auto" w:fill="FFFFFF"/>
              </w:rPr>
              <w:t>Facebook:</w:t>
            </w:r>
            <w:r w:rsidRPr="008A3921">
              <w:t xml:space="preserve"> </w:t>
            </w:r>
            <w:hyperlink r:id="rId7" w:history="1">
              <w:r w:rsidRPr="008A3921">
                <w:rPr>
                  <w:rFonts w:ascii="Times New Roman" w:hAnsi="Times New Roman" w:cs="Times New Roman"/>
                  <w:color w:val="0000FF" w:themeColor="hyperlink"/>
                  <w:sz w:val="24"/>
                  <w:szCs w:val="24"/>
                  <w:u w:val="single"/>
                </w:rPr>
                <w:t>https://www.facebook.com/people/Bha-Bha/100065756954624/</w:t>
              </w:r>
            </w:hyperlink>
            <w:r w:rsidRPr="008A3921">
              <w:t xml:space="preserve"> </w:t>
            </w:r>
          </w:p>
          <w:p w:rsidR="008A3921" w:rsidRPr="008A3921" w:rsidRDefault="008A3921" w:rsidP="008A3921">
            <w:r w:rsidRPr="008A3921">
              <w:t xml:space="preserve">Email: </w:t>
            </w:r>
            <w:hyperlink r:id="rId8" w:history="1">
              <w:r w:rsidRPr="008A3921">
                <w:rPr>
                  <w:rFonts w:ascii="Times New Roman" w:hAnsi="Times New Roman" w:cs="Times New Roman"/>
                  <w:color w:val="0000FF" w:themeColor="hyperlink"/>
                  <w:sz w:val="24"/>
                  <w:szCs w:val="24"/>
                  <w:u w:val="single"/>
                </w:rPr>
                <w:t>betterhandsgambia@gmail.com</w:t>
              </w:r>
            </w:hyperlink>
          </w:p>
          <w:p w:rsidR="00C61E1E" w:rsidRPr="00830B89" w:rsidRDefault="008A3921" w:rsidP="008A3921">
            <w:pPr>
              <w:rPr>
                <w:rFonts w:ascii="Times New Roman" w:hAnsi="Times New Roman" w:cs="Times New Roman"/>
                <w:sz w:val="24"/>
                <w:szCs w:val="24"/>
              </w:rPr>
            </w:pPr>
            <w:r w:rsidRPr="008A3921">
              <w:t>Tell:   +2203929009</w:t>
            </w:r>
          </w:p>
        </w:tc>
      </w:tr>
      <w:tr w:rsidR="00540269" w:rsidRPr="00830B89" w:rsidTr="000E6577">
        <w:tc>
          <w:tcPr>
            <w:tcW w:w="3422" w:type="dxa"/>
            <w:shd w:val="clear" w:color="auto" w:fill="C6D9F1" w:themeFill="text2" w:themeFillTint="33"/>
          </w:tcPr>
          <w:p w:rsidR="00540269" w:rsidRPr="00830B89" w:rsidRDefault="00540269" w:rsidP="00830B89">
            <w:pPr>
              <w:rPr>
                <w:rFonts w:ascii="Times New Roman" w:eastAsia="SimSun" w:hAnsi="Times New Roman" w:cs="Times New Roman"/>
                <w:b/>
                <w:bCs/>
                <w:sz w:val="24"/>
                <w:szCs w:val="24"/>
              </w:rPr>
            </w:pPr>
            <w:r w:rsidRPr="00830B89">
              <w:rPr>
                <w:rFonts w:ascii="Times New Roman" w:eastAsia="SimSun" w:hAnsi="Times New Roman" w:cs="Times New Roman"/>
                <w:b/>
                <w:bCs/>
                <w:sz w:val="24"/>
                <w:szCs w:val="24"/>
              </w:rPr>
              <w:t>Project duration</w:t>
            </w:r>
          </w:p>
          <w:p w:rsidR="00540269" w:rsidRPr="00830B89" w:rsidRDefault="00540269" w:rsidP="00830B89">
            <w:pPr>
              <w:rPr>
                <w:rFonts w:ascii="Times New Roman" w:eastAsia="SimSun" w:hAnsi="Times New Roman" w:cs="Times New Roman"/>
                <w:b/>
                <w:bCs/>
                <w:sz w:val="24"/>
                <w:szCs w:val="24"/>
              </w:rPr>
            </w:pPr>
          </w:p>
        </w:tc>
        <w:tc>
          <w:tcPr>
            <w:tcW w:w="5928" w:type="dxa"/>
          </w:tcPr>
          <w:p w:rsidR="00540269" w:rsidRPr="00830B89" w:rsidRDefault="00540269" w:rsidP="00830B89">
            <w:pPr>
              <w:shd w:val="clear" w:color="auto" w:fill="FFFFFF"/>
              <w:rPr>
                <w:rFonts w:ascii="Times New Roman" w:eastAsia="Times New Roman" w:hAnsi="Times New Roman" w:cs="Times New Roman"/>
                <w:color w:val="222222"/>
                <w:sz w:val="24"/>
                <w:szCs w:val="24"/>
              </w:rPr>
            </w:pPr>
            <w:r w:rsidRPr="00830B89">
              <w:rPr>
                <w:rFonts w:ascii="Times New Roman" w:hAnsi="Times New Roman" w:cs="Times New Roman"/>
                <w:sz w:val="24"/>
                <w:szCs w:val="24"/>
              </w:rPr>
              <w:t>1 year</w:t>
            </w:r>
          </w:p>
        </w:tc>
      </w:tr>
      <w:tr w:rsidR="00540269" w:rsidRPr="00830B89" w:rsidTr="000E6577">
        <w:tc>
          <w:tcPr>
            <w:tcW w:w="3422" w:type="dxa"/>
            <w:shd w:val="clear" w:color="auto" w:fill="C6D9F1" w:themeFill="text2" w:themeFillTint="33"/>
          </w:tcPr>
          <w:p w:rsidR="00540269" w:rsidRPr="00830B89" w:rsidRDefault="00540269" w:rsidP="00830B89">
            <w:pPr>
              <w:rPr>
                <w:rFonts w:ascii="Times New Roman" w:eastAsia="SimSun" w:hAnsi="Times New Roman" w:cs="Times New Roman"/>
                <w:b/>
                <w:bCs/>
                <w:sz w:val="24"/>
                <w:szCs w:val="24"/>
              </w:rPr>
            </w:pPr>
            <w:r w:rsidRPr="00830B89">
              <w:rPr>
                <w:rFonts w:ascii="Times New Roman" w:eastAsia="SimSun" w:hAnsi="Times New Roman" w:cs="Times New Roman"/>
                <w:b/>
                <w:bCs/>
                <w:sz w:val="24"/>
                <w:szCs w:val="24"/>
              </w:rPr>
              <w:t xml:space="preserve">Amount requested </w:t>
            </w:r>
          </w:p>
        </w:tc>
        <w:tc>
          <w:tcPr>
            <w:tcW w:w="5928" w:type="dxa"/>
          </w:tcPr>
          <w:p w:rsidR="00540269" w:rsidRPr="002D3317" w:rsidRDefault="00F63D3D" w:rsidP="00830B89">
            <w:pPr>
              <w:rPr>
                <w:rFonts w:ascii="Times New Roman" w:hAnsi="Times New Roman" w:cs="Times New Roman"/>
                <w:sz w:val="24"/>
                <w:szCs w:val="24"/>
              </w:rPr>
            </w:pPr>
            <w:r>
              <w:rPr>
                <w:rFonts w:ascii="Times New Roman" w:hAnsi="Times New Roman" w:cs="Times New Roman"/>
                <w:sz w:val="24"/>
                <w:szCs w:val="24"/>
              </w:rPr>
              <w:t>$5820</w:t>
            </w:r>
          </w:p>
          <w:p w:rsidR="00540269" w:rsidRPr="00830B89" w:rsidRDefault="00540269" w:rsidP="00830B89">
            <w:pPr>
              <w:rPr>
                <w:rFonts w:ascii="Times New Roman" w:hAnsi="Times New Roman" w:cs="Times New Roman"/>
                <w:sz w:val="24"/>
                <w:szCs w:val="24"/>
              </w:rPr>
            </w:pPr>
          </w:p>
        </w:tc>
      </w:tr>
      <w:tr w:rsidR="00540269" w:rsidRPr="00830B89" w:rsidTr="000E6577">
        <w:tc>
          <w:tcPr>
            <w:tcW w:w="3422" w:type="dxa"/>
            <w:shd w:val="clear" w:color="auto" w:fill="C6D9F1" w:themeFill="text2" w:themeFillTint="33"/>
          </w:tcPr>
          <w:p w:rsidR="00540269" w:rsidRPr="00830B89" w:rsidRDefault="00540269" w:rsidP="00830B89">
            <w:pPr>
              <w:rPr>
                <w:rFonts w:ascii="Times New Roman" w:eastAsia="SimSun" w:hAnsi="Times New Roman" w:cs="Times New Roman"/>
                <w:b/>
                <w:bCs/>
                <w:sz w:val="24"/>
                <w:szCs w:val="24"/>
              </w:rPr>
            </w:pPr>
            <w:r w:rsidRPr="00830B89">
              <w:rPr>
                <w:rFonts w:ascii="Times New Roman" w:eastAsia="SimSun" w:hAnsi="Times New Roman" w:cs="Times New Roman"/>
                <w:b/>
                <w:bCs/>
                <w:sz w:val="24"/>
                <w:szCs w:val="24"/>
              </w:rPr>
              <w:t>Location of Project (Province/State/Regions)</w:t>
            </w:r>
          </w:p>
          <w:p w:rsidR="00540269" w:rsidRPr="00830B89" w:rsidRDefault="00540269" w:rsidP="00830B89">
            <w:pPr>
              <w:rPr>
                <w:rFonts w:ascii="Times New Roman" w:eastAsia="SimSun" w:hAnsi="Times New Roman" w:cs="Times New Roman"/>
                <w:b/>
                <w:bCs/>
                <w:sz w:val="24"/>
                <w:szCs w:val="24"/>
              </w:rPr>
            </w:pPr>
          </w:p>
        </w:tc>
        <w:tc>
          <w:tcPr>
            <w:tcW w:w="5928" w:type="dxa"/>
            <w:tcBorders>
              <w:bottom w:val="single" w:sz="4" w:space="0" w:color="auto"/>
            </w:tcBorders>
          </w:tcPr>
          <w:p w:rsidR="00540269" w:rsidRPr="00830B89" w:rsidRDefault="00540269" w:rsidP="00830B89">
            <w:pPr>
              <w:rPr>
                <w:rFonts w:ascii="Times New Roman" w:hAnsi="Times New Roman" w:cs="Times New Roman"/>
                <w:sz w:val="24"/>
                <w:szCs w:val="24"/>
              </w:rPr>
            </w:pPr>
            <w:r>
              <w:rPr>
                <w:rFonts w:ascii="Times New Roman" w:eastAsia="Times New Roman" w:hAnsi="Times New Roman" w:cs="Times New Roman"/>
                <w:color w:val="222222"/>
                <w:sz w:val="24"/>
                <w:szCs w:val="24"/>
              </w:rPr>
              <w:t>Central River Region and Upper River Region</w:t>
            </w:r>
          </w:p>
        </w:tc>
      </w:tr>
      <w:tr w:rsidR="00540269" w:rsidRPr="00830B89" w:rsidTr="000E6577">
        <w:tc>
          <w:tcPr>
            <w:tcW w:w="3422" w:type="dxa"/>
            <w:shd w:val="clear" w:color="auto" w:fill="C6D9F1" w:themeFill="text2" w:themeFillTint="33"/>
          </w:tcPr>
          <w:p w:rsidR="00540269" w:rsidRPr="00830B89" w:rsidRDefault="00540269" w:rsidP="00830B89">
            <w:pPr>
              <w:rPr>
                <w:rFonts w:ascii="Times New Roman" w:eastAsia="SimSun" w:hAnsi="Times New Roman" w:cs="Times New Roman"/>
                <w:b/>
                <w:bCs/>
                <w:sz w:val="24"/>
                <w:szCs w:val="24"/>
              </w:rPr>
            </w:pPr>
            <w:r>
              <w:rPr>
                <w:rFonts w:ascii="Times New Roman" w:eastAsia="SimSun" w:hAnsi="Times New Roman" w:cs="Times New Roman"/>
                <w:b/>
                <w:bCs/>
                <w:sz w:val="24"/>
                <w:szCs w:val="24"/>
              </w:rPr>
              <w:t>Target and beneficiaries group</w:t>
            </w:r>
          </w:p>
        </w:tc>
        <w:tc>
          <w:tcPr>
            <w:tcW w:w="5928" w:type="dxa"/>
          </w:tcPr>
          <w:p w:rsidR="00540269" w:rsidRPr="00830B89" w:rsidRDefault="00540269" w:rsidP="0076075A">
            <w:pPr>
              <w:shd w:val="clear" w:color="auto" w:fill="FFFFFF"/>
              <w:rPr>
                <w:rFonts w:ascii="Calibri" w:eastAsia="Times New Roman" w:hAnsi="Calibri" w:cs="Calibri"/>
                <w:color w:val="222222"/>
              </w:rPr>
            </w:pPr>
            <w:r>
              <w:rPr>
                <w:rFonts w:ascii="Times New Roman" w:hAnsi="Times New Roman" w:cs="Times New Roman"/>
                <w:color w:val="0D0D0D"/>
                <w:sz w:val="24"/>
                <w:szCs w:val="24"/>
                <w:shd w:val="clear" w:color="auto" w:fill="FFFFFF"/>
              </w:rPr>
              <w:t>Better Hands Association the Gambia aims to directly enroll 100 children aged 7</w:t>
            </w:r>
            <w:r w:rsidRPr="00833998">
              <w:rPr>
                <w:rFonts w:ascii="Times New Roman" w:hAnsi="Times New Roman" w:cs="Times New Roman"/>
                <w:color w:val="0D0D0D"/>
                <w:sz w:val="24"/>
                <w:szCs w:val="24"/>
                <w:shd w:val="clear" w:color="auto" w:fill="FFFFFF"/>
              </w:rPr>
              <w:t xml:space="preserve"> to 12 years who have never been to school or out of school from 15 communities as primary beneficiaries, while also indirectly benefiting </w:t>
            </w:r>
            <w:r>
              <w:rPr>
                <w:rFonts w:ascii="Times New Roman" w:hAnsi="Times New Roman" w:cs="Times New Roman"/>
                <w:color w:val="0D0D0D"/>
                <w:sz w:val="24"/>
                <w:szCs w:val="24"/>
                <w:shd w:val="clear" w:color="auto" w:fill="FFFFFF"/>
              </w:rPr>
              <w:t>over 15</w:t>
            </w:r>
            <w:r w:rsidRPr="00833998">
              <w:rPr>
                <w:rFonts w:ascii="Times New Roman" w:hAnsi="Times New Roman" w:cs="Times New Roman"/>
                <w:color w:val="0D0D0D"/>
                <w:sz w:val="24"/>
                <w:szCs w:val="24"/>
                <w:shd w:val="clear" w:color="auto" w:fill="FFFFFF"/>
              </w:rPr>
              <w:t>00 individuals. This initiative seeks to directly address the needs of children in these communities while also generating broader positive effects that extend to families, caregivers, and the community at large.</w:t>
            </w:r>
            <w:r>
              <w:rPr>
                <w:rFonts w:ascii="Times New Roman" w:hAnsi="Times New Roman" w:cs="Times New Roman"/>
                <w:color w:val="0D0D0D"/>
                <w:sz w:val="24"/>
                <w:szCs w:val="24"/>
                <w:shd w:val="clear" w:color="auto" w:fill="FFFFFF"/>
              </w:rPr>
              <w:t xml:space="preserve"> </w:t>
            </w:r>
          </w:p>
        </w:tc>
      </w:tr>
      <w:tr w:rsidR="00540269" w:rsidRPr="00830B89" w:rsidTr="000E6577">
        <w:trPr>
          <w:trHeight w:val="3066"/>
        </w:trPr>
        <w:tc>
          <w:tcPr>
            <w:tcW w:w="3422" w:type="dxa"/>
            <w:shd w:val="clear" w:color="auto" w:fill="C6D9F1" w:themeFill="text2" w:themeFillTint="33"/>
          </w:tcPr>
          <w:p w:rsidR="00540269" w:rsidRPr="00830B89" w:rsidRDefault="00540269" w:rsidP="00830B89">
            <w:pPr>
              <w:keepNext/>
              <w:spacing w:before="240" w:after="60"/>
              <w:outlineLvl w:val="1"/>
              <w:rPr>
                <w:rFonts w:ascii="Times New Roman" w:eastAsia="Times New Roman" w:hAnsi="Times New Roman" w:cs="Times New Roman"/>
                <w:b/>
                <w:bCs/>
                <w:iCs/>
                <w:color w:val="000000"/>
                <w:sz w:val="24"/>
                <w:szCs w:val="24"/>
                <w:lang w:val="en-GB"/>
              </w:rPr>
            </w:pPr>
            <w:r>
              <w:rPr>
                <w:rFonts w:ascii="Times New Roman" w:eastAsia="Times New Roman" w:hAnsi="Times New Roman" w:cs="Times New Roman"/>
                <w:b/>
                <w:bCs/>
                <w:iCs/>
                <w:color w:val="000000"/>
                <w:sz w:val="24"/>
                <w:szCs w:val="24"/>
                <w:lang w:val="en-GB"/>
              </w:rPr>
              <w:lastRenderedPageBreak/>
              <w:t xml:space="preserve">Project </w:t>
            </w:r>
            <w:proofErr w:type="gramStart"/>
            <w:r>
              <w:rPr>
                <w:rFonts w:ascii="Times New Roman" w:eastAsia="Times New Roman" w:hAnsi="Times New Roman" w:cs="Times New Roman"/>
                <w:b/>
                <w:bCs/>
                <w:iCs/>
                <w:color w:val="000000"/>
                <w:sz w:val="24"/>
                <w:szCs w:val="24"/>
                <w:lang w:val="en-GB"/>
              </w:rPr>
              <w:t>background  and</w:t>
            </w:r>
            <w:proofErr w:type="gramEnd"/>
            <w:r>
              <w:rPr>
                <w:rFonts w:ascii="Times New Roman" w:eastAsia="Times New Roman" w:hAnsi="Times New Roman" w:cs="Times New Roman"/>
                <w:b/>
                <w:bCs/>
                <w:iCs/>
                <w:color w:val="000000"/>
                <w:sz w:val="24"/>
                <w:szCs w:val="24"/>
                <w:lang w:val="en-GB"/>
              </w:rPr>
              <w:t xml:space="preserve"> the situation </w:t>
            </w:r>
          </w:p>
          <w:p w:rsidR="00540269" w:rsidRPr="00830B89" w:rsidRDefault="00540269" w:rsidP="00830B89">
            <w:pPr>
              <w:rPr>
                <w:rFonts w:ascii="Times New Roman" w:eastAsia="SimSun" w:hAnsi="Times New Roman" w:cs="Times New Roman"/>
                <w:b/>
                <w:bCs/>
                <w:sz w:val="24"/>
                <w:szCs w:val="24"/>
              </w:rPr>
            </w:pPr>
          </w:p>
        </w:tc>
        <w:tc>
          <w:tcPr>
            <w:tcW w:w="5928" w:type="dxa"/>
            <w:tcBorders>
              <w:top w:val="single" w:sz="4" w:space="0" w:color="auto"/>
              <w:bottom w:val="nil"/>
            </w:tcBorders>
          </w:tcPr>
          <w:p w:rsidR="00540269" w:rsidRPr="00540269" w:rsidRDefault="00540269" w:rsidP="008D3ABA">
            <w:pPr>
              <w:spacing w:before="100" w:beforeAutospacing="1" w:after="100" w:afterAutospacing="1"/>
              <w:rPr>
                <w:rFonts w:ascii="Times New Roman" w:eastAsia="Times New Roman" w:hAnsi="Times New Roman" w:cs="Times New Roman"/>
                <w:sz w:val="24"/>
                <w:szCs w:val="24"/>
              </w:rPr>
            </w:pPr>
            <w:r w:rsidRPr="00540269">
              <w:rPr>
                <w:rFonts w:ascii="Times New Roman" w:eastAsia="Times New Roman" w:hAnsi="Times New Roman" w:cs="Times New Roman"/>
                <w:sz w:val="24"/>
                <w:szCs w:val="24"/>
              </w:rPr>
              <w:t>The Gambia, like many other African countries, is facing a learning crisis. In sub-Saharan Africa, learning poverty, defined as the share of children unable to read and understand an age-appropriate text by age 10, is estimated </w:t>
            </w:r>
            <w:hyperlink r:id="rId9" w:tgtFrame="_blank" w:history="1">
              <w:r w:rsidRPr="00540269">
                <w:rPr>
                  <w:rFonts w:ascii="Times New Roman" w:eastAsia="Times New Roman" w:hAnsi="Times New Roman" w:cs="Times New Roman"/>
                  <w:sz w:val="24"/>
                  <w:szCs w:val="24"/>
                  <w:u w:val="single"/>
                </w:rPr>
                <w:t>at 89 percent</w:t>
              </w:r>
            </w:hyperlink>
            <w:r w:rsidRPr="00540269">
              <w:rPr>
                <w:rFonts w:ascii="Times New Roman" w:eastAsia="Times New Roman" w:hAnsi="Times New Roman" w:cs="Times New Roman"/>
                <w:sz w:val="24"/>
                <w:szCs w:val="24"/>
              </w:rPr>
              <w:t xml:space="preserve"> by the World Bank, UNESCO, and other organizations. While specific country estimates are not available for The Gambia, data from </w:t>
            </w:r>
            <w:hyperlink r:id="rId10" w:tgtFrame="_blank" w:history="1">
              <w:r w:rsidRPr="00540269">
                <w:rPr>
                  <w:rFonts w:ascii="Times New Roman" w:eastAsia="Times New Roman" w:hAnsi="Times New Roman" w:cs="Times New Roman"/>
                  <w:sz w:val="24"/>
                  <w:szCs w:val="24"/>
                  <w:u w:val="single"/>
                </w:rPr>
                <w:t>UNICEF</w:t>
              </w:r>
            </w:hyperlink>
            <w:r w:rsidRPr="00540269">
              <w:rPr>
                <w:rFonts w:ascii="Times New Roman" w:eastAsia="Times New Roman" w:hAnsi="Times New Roman" w:cs="Times New Roman"/>
                <w:sz w:val="24"/>
                <w:szCs w:val="24"/>
              </w:rPr>
              <w:t xml:space="preserve"> </w:t>
            </w:r>
            <w:r w:rsidR="00AC61C5">
              <w:rPr>
                <w:rFonts w:ascii="Times New Roman" w:eastAsia="Times New Roman" w:hAnsi="Times New Roman" w:cs="Times New Roman"/>
                <w:sz w:val="24"/>
                <w:szCs w:val="24"/>
              </w:rPr>
              <w:t xml:space="preserve">2023 </w:t>
            </w:r>
            <w:r w:rsidRPr="00540269">
              <w:rPr>
                <w:rFonts w:ascii="Times New Roman" w:eastAsia="Times New Roman" w:hAnsi="Times New Roman" w:cs="Times New Roman"/>
                <w:sz w:val="24"/>
                <w:szCs w:val="24"/>
              </w:rPr>
              <w:t>suggests just 13% of children possess fundamental reading skills, with urban areas showing a slightly higher rate of 16% and rural areas lagging behind at 7%. Moreover, when it comes to basic numeracy skills, only 4% of children meet the standard, with urban regions at 5% and rural areas at an even lower 1%. It is imperative to improve the quality of the education provided in schools. </w:t>
            </w:r>
          </w:p>
          <w:p w:rsidR="00540269" w:rsidRPr="00540269" w:rsidRDefault="00540269" w:rsidP="008D3ABA">
            <w:pPr>
              <w:spacing w:before="100" w:beforeAutospacing="1" w:after="100" w:afterAutospacing="1"/>
              <w:rPr>
                <w:rFonts w:ascii="Times New Roman" w:eastAsia="Times New Roman" w:hAnsi="Times New Roman" w:cs="Times New Roman"/>
                <w:sz w:val="24"/>
                <w:szCs w:val="24"/>
              </w:rPr>
            </w:pPr>
            <w:r w:rsidRPr="00540269">
              <w:rPr>
                <w:rFonts w:ascii="Times New Roman" w:eastAsia="Times New Roman" w:hAnsi="Times New Roman" w:cs="Times New Roman"/>
                <w:sz w:val="24"/>
                <w:szCs w:val="24"/>
              </w:rPr>
              <w:t>*Schooling does not imply learning, but lack of learning increases the likelihood of dropping out of school. According to </w:t>
            </w:r>
            <w:hyperlink r:id="rId11" w:tgtFrame="_blank" w:history="1">
              <w:r w:rsidRPr="00540269">
                <w:rPr>
                  <w:rFonts w:ascii="Times New Roman" w:eastAsia="Times New Roman" w:hAnsi="Times New Roman" w:cs="Times New Roman"/>
                  <w:sz w:val="24"/>
                  <w:szCs w:val="24"/>
                  <w:u w:val="single"/>
                </w:rPr>
                <w:t>education statistics from the Ministry of Basic and Secondary Education</w:t>
              </w:r>
            </w:hyperlink>
            <w:r w:rsidRPr="00540269">
              <w:rPr>
                <w:rFonts w:ascii="Times New Roman" w:eastAsia="Times New Roman" w:hAnsi="Times New Roman" w:cs="Times New Roman"/>
                <w:sz w:val="24"/>
                <w:szCs w:val="24"/>
              </w:rPr>
              <w:t xml:space="preserve"> (</w:t>
            </w:r>
            <w:proofErr w:type="spellStart"/>
            <w:r w:rsidRPr="00540269">
              <w:rPr>
                <w:rFonts w:ascii="Times New Roman" w:eastAsia="Times New Roman" w:hAnsi="Times New Roman" w:cs="Times New Roman"/>
                <w:sz w:val="24"/>
                <w:szCs w:val="24"/>
              </w:rPr>
              <w:t>MoBSE</w:t>
            </w:r>
            <w:proofErr w:type="spellEnd"/>
            <w:r w:rsidRPr="00540269">
              <w:rPr>
                <w:rFonts w:ascii="Times New Roman" w:eastAsia="Times New Roman" w:hAnsi="Times New Roman" w:cs="Times New Roman"/>
                <w:sz w:val="24"/>
                <w:szCs w:val="24"/>
              </w:rPr>
              <w:t>), the </w:t>
            </w:r>
            <w:hyperlink r:id="rId12" w:tgtFrame="_blank" w:history="1">
              <w:r w:rsidRPr="00540269">
                <w:rPr>
                  <w:rFonts w:ascii="Times New Roman" w:eastAsia="Times New Roman" w:hAnsi="Times New Roman" w:cs="Times New Roman"/>
                  <w:sz w:val="24"/>
                  <w:szCs w:val="24"/>
                  <w:u w:val="single"/>
                </w:rPr>
                <w:t>primary school completion rate</w:t>
              </w:r>
            </w:hyperlink>
            <w:r w:rsidRPr="00540269">
              <w:rPr>
                <w:rFonts w:ascii="Times New Roman" w:eastAsia="Times New Roman" w:hAnsi="Times New Roman" w:cs="Times New Roman"/>
                <w:sz w:val="24"/>
                <w:szCs w:val="24"/>
              </w:rPr>
              <w:t xml:space="preserve"> was at 80 percent in 2023 for boys and 96 percent for girls. The lower secondary completion rate was at 56% for boys and 75% for girls in 2023. According to the World Bank and the </w:t>
            </w:r>
            <w:hyperlink r:id="rId13" w:history="1">
              <w:r w:rsidRPr="00540269">
                <w:rPr>
                  <w:rFonts w:ascii="Times New Roman" w:eastAsia="Times New Roman" w:hAnsi="Times New Roman" w:cs="Times New Roman"/>
                  <w:sz w:val="24"/>
                  <w:szCs w:val="24"/>
                  <w:u w:val="single"/>
                </w:rPr>
                <w:t>UNESCO Institute of Statistics</w:t>
              </w:r>
            </w:hyperlink>
            <w:r w:rsidRPr="00540269">
              <w:rPr>
                <w:rFonts w:ascii="Times New Roman" w:eastAsia="Times New Roman" w:hAnsi="Times New Roman" w:cs="Times New Roman"/>
                <w:sz w:val="24"/>
                <w:szCs w:val="24"/>
              </w:rPr>
              <w:t xml:space="preserve"> (UIS), </w:t>
            </w:r>
            <w:hyperlink r:id="rId14" w:tgtFrame="_blank" w:history="1">
              <w:r w:rsidRPr="00540269">
                <w:rPr>
                  <w:rFonts w:ascii="Times New Roman" w:eastAsia="Times New Roman" w:hAnsi="Times New Roman" w:cs="Times New Roman"/>
                  <w:sz w:val="24"/>
                  <w:szCs w:val="24"/>
                  <w:u w:val="single"/>
                </w:rPr>
                <w:t>gross enrollment in tertiary education</w:t>
              </w:r>
            </w:hyperlink>
            <w:r w:rsidRPr="00540269">
              <w:rPr>
                <w:rFonts w:ascii="Times New Roman" w:eastAsia="Times New Roman" w:hAnsi="Times New Roman" w:cs="Times New Roman"/>
                <w:sz w:val="24"/>
                <w:szCs w:val="24"/>
              </w:rPr>
              <w:t xml:space="preserve"> was at 3 percent for men in 2012 versus 2 percent for women. </w:t>
            </w:r>
          </w:p>
          <w:p w:rsidR="00540269" w:rsidRDefault="00540269" w:rsidP="008101F4">
            <w:pPr>
              <w:shd w:val="clear" w:color="auto" w:fill="FFFFFF"/>
              <w:rPr>
                <w:rFonts w:ascii="Times New Roman" w:hAnsi="Times New Roman" w:cs="Times New Roman"/>
                <w:sz w:val="24"/>
                <w:szCs w:val="24"/>
              </w:rPr>
            </w:pPr>
            <w:r w:rsidRPr="00540269">
              <w:rPr>
                <w:rFonts w:ascii="Times New Roman" w:hAnsi="Times New Roman" w:cs="Times New Roman"/>
                <w:sz w:val="24"/>
                <w:szCs w:val="24"/>
              </w:rPr>
              <w:t>These statistics highlight the urgent need for comprehensive interventions to address the multifaceted barriers to education faced by children in Gambia, particularly in the Central River region and the Upper River Region, emphasizing the importance of initiatives like "From Streets to Schools.</w:t>
            </w:r>
          </w:p>
          <w:p w:rsidR="00540269" w:rsidRDefault="00540269" w:rsidP="008101F4">
            <w:pPr>
              <w:shd w:val="clear" w:color="auto" w:fill="FFFFFF"/>
              <w:rPr>
                <w:rFonts w:ascii="Times New Roman" w:hAnsi="Times New Roman" w:cs="Times New Roman"/>
                <w:sz w:val="24"/>
                <w:szCs w:val="24"/>
              </w:rPr>
            </w:pPr>
          </w:p>
          <w:p w:rsidR="00540269" w:rsidRPr="008101F4" w:rsidRDefault="00540269" w:rsidP="008101F4">
            <w:pPr>
              <w:shd w:val="clear" w:color="auto" w:fill="FFFFFF"/>
              <w:rPr>
                <w:rFonts w:ascii="Times New Roman" w:eastAsia="Times New Roman" w:hAnsi="Times New Roman" w:cs="Times New Roman"/>
                <w:color w:val="222222"/>
                <w:sz w:val="24"/>
                <w:szCs w:val="24"/>
              </w:rPr>
            </w:pPr>
          </w:p>
        </w:tc>
      </w:tr>
      <w:tr w:rsidR="00540269" w:rsidRPr="00830B89" w:rsidTr="000E6577">
        <w:tc>
          <w:tcPr>
            <w:tcW w:w="3422" w:type="dxa"/>
            <w:shd w:val="clear" w:color="auto" w:fill="C6D9F1" w:themeFill="text2" w:themeFillTint="33"/>
          </w:tcPr>
          <w:p w:rsidR="00540269" w:rsidRPr="00830B89" w:rsidRDefault="00540269" w:rsidP="00830B89">
            <w:pPr>
              <w:rPr>
                <w:rFonts w:ascii="Times New Roman" w:eastAsia="SimSun" w:hAnsi="Times New Roman" w:cs="Times New Roman"/>
                <w:b/>
                <w:bCs/>
                <w:sz w:val="24"/>
                <w:szCs w:val="24"/>
              </w:rPr>
            </w:pPr>
            <w:r w:rsidRPr="00830B89">
              <w:rPr>
                <w:rFonts w:ascii="Times New Roman" w:eastAsia="Times New Roman" w:hAnsi="Times New Roman" w:cs="Times New Roman"/>
                <w:b/>
                <w:bCs/>
                <w:iCs/>
                <w:color w:val="000000"/>
                <w:sz w:val="24"/>
                <w:szCs w:val="24"/>
                <w:lang w:val="en-GB"/>
              </w:rPr>
              <w:t>Pro</w:t>
            </w:r>
            <w:r w:rsidR="00AC61C5">
              <w:rPr>
                <w:rFonts w:ascii="Times New Roman" w:eastAsia="Times New Roman" w:hAnsi="Times New Roman" w:cs="Times New Roman"/>
                <w:b/>
                <w:bCs/>
                <w:iCs/>
                <w:color w:val="000000"/>
                <w:sz w:val="24"/>
                <w:szCs w:val="24"/>
                <w:lang w:val="en-GB"/>
              </w:rPr>
              <w:t xml:space="preserve">ject goal </w:t>
            </w:r>
          </w:p>
        </w:tc>
        <w:tc>
          <w:tcPr>
            <w:tcW w:w="5928" w:type="dxa"/>
            <w:tcBorders>
              <w:top w:val="nil"/>
            </w:tcBorders>
          </w:tcPr>
          <w:p w:rsidR="00540269" w:rsidRPr="00AC61C5" w:rsidRDefault="00540269" w:rsidP="00AC61C5">
            <w:pPr>
              <w:spacing w:after="240"/>
              <w:rPr>
                <w:rFonts w:ascii="Times New Roman" w:hAnsi="Times New Roman" w:cs="Times New Roman"/>
                <w:color w:val="0D0D0D"/>
                <w:sz w:val="24"/>
                <w:szCs w:val="24"/>
                <w:shd w:val="clear" w:color="auto" w:fill="FFFFFF"/>
              </w:rPr>
            </w:pPr>
            <w:r w:rsidRPr="00830B89">
              <w:rPr>
                <w:rFonts w:ascii="Times New Roman" w:hAnsi="Times New Roman" w:cs="Times New Roman"/>
                <w:b/>
                <w:color w:val="0D0D0D"/>
                <w:sz w:val="24"/>
                <w:szCs w:val="24"/>
                <w:shd w:val="clear" w:color="auto" w:fill="FFFFFF"/>
              </w:rPr>
              <w:t>Goal</w:t>
            </w:r>
            <w:r w:rsidRPr="00830B89">
              <w:rPr>
                <w:rFonts w:ascii="Times New Roman" w:hAnsi="Times New Roman" w:cs="Times New Roman"/>
                <w:color w:val="0D0D0D"/>
                <w:sz w:val="24"/>
                <w:szCs w:val="24"/>
                <w:shd w:val="clear" w:color="auto" w:fill="FFFFFF"/>
              </w:rPr>
              <w:t xml:space="preserve">: </w:t>
            </w:r>
            <w:r w:rsidRPr="00F47E0A">
              <w:rPr>
                <w:rFonts w:ascii="Times New Roman" w:hAnsi="Times New Roman" w:cs="Times New Roman"/>
                <w:color w:val="0D0D0D"/>
                <w:sz w:val="24"/>
                <w:szCs w:val="24"/>
                <w:shd w:val="clear" w:color="auto" w:fill="FFFFFF"/>
              </w:rPr>
              <w:t>The goal of "From Streets to Schools: A Children Transformative Approach to Educatio</w:t>
            </w:r>
            <w:r>
              <w:rPr>
                <w:rFonts w:ascii="Times New Roman" w:hAnsi="Times New Roman" w:cs="Times New Roman"/>
                <w:color w:val="0D0D0D"/>
                <w:sz w:val="24"/>
                <w:szCs w:val="24"/>
                <w:shd w:val="clear" w:color="auto" w:fill="FFFFFF"/>
              </w:rPr>
              <w:t>n in Central River Region and Upper River Region in the Gambia</w:t>
            </w:r>
            <w:r w:rsidRPr="00F47E0A">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 xml:space="preserve">it </w:t>
            </w:r>
            <w:r w:rsidRPr="00F47E0A">
              <w:rPr>
                <w:rFonts w:ascii="Times New Roman" w:hAnsi="Times New Roman" w:cs="Times New Roman"/>
                <w:color w:val="0D0D0D"/>
                <w:sz w:val="24"/>
                <w:szCs w:val="24"/>
                <w:shd w:val="clear" w:color="auto" w:fill="FFFFFF"/>
              </w:rPr>
              <w:t>is to increase enrollment and ensure quality education for children, prioritizing their welfare and community engagement. By addressing barriers and fostering holistic development, the project aims to empower children, create sustainable education systems, and monitor progress through collaboration and partnerships.</w:t>
            </w:r>
          </w:p>
        </w:tc>
      </w:tr>
      <w:tr w:rsidR="00540269" w:rsidRPr="00830B89" w:rsidTr="000E6577">
        <w:tc>
          <w:tcPr>
            <w:tcW w:w="3422" w:type="dxa"/>
            <w:shd w:val="clear" w:color="auto" w:fill="C6D9F1" w:themeFill="text2" w:themeFillTint="33"/>
          </w:tcPr>
          <w:p w:rsidR="00540269" w:rsidRPr="00830B89" w:rsidRDefault="00540269" w:rsidP="00830B89">
            <w:pPr>
              <w:keepNext/>
              <w:spacing w:before="240" w:after="60"/>
              <w:outlineLvl w:val="1"/>
              <w:rPr>
                <w:rFonts w:ascii="Times New Roman" w:eastAsia="Times New Roman" w:hAnsi="Times New Roman" w:cs="Times New Roman"/>
                <w:b/>
                <w:bCs/>
                <w:iCs/>
                <w:color w:val="000000"/>
                <w:sz w:val="24"/>
                <w:szCs w:val="24"/>
                <w:lang w:val="en-GB"/>
              </w:rPr>
            </w:pPr>
            <w:r w:rsidRPr="00830B89">
              <w:rPr>
                <w:rFonts w:ascii="Times New Roman" w:eastAsia="Times New Roman" w:hAnsi="Times New Roman" w:cs="Times New Roman"/>
                <w:b/>
                <w:bCs/>
                <w:iCs/>
                <w:color w:val="000000"/>
                <w:sz w:val="24"/>
                <w:szCs w:val="24"/>
                <w:lang w:val="en-GB"/>
              </w:rPr>
              <w:lastRenderedPageBreak/>
              <w:t>Project Problem statement</w:t>
            </w:r>
          </w:p>
        </w:tc>
        <w:tc>
          <w:tcPr>
            <w:tcW w:w="5928" w:type="dxa"/>
          </w:tcPr>
          <w:p w:rsidR="00540269" w:rsidRPr="009D6D27" w:rsidRDefault="00540269" w:rsidP="00E63292">
            <w:pPr>
              <w:spacing w:after="240"/>
              <w:rPr>
                <w:rFonts w:ascii="Times New Roman" w:hAnsi="Times New Roman" w:cs="Times New Roman"/>
                <w:sz w:val="24"/>
                <w:szCs w:val="24"/>
                <w:shd w:val="clear" w:color="auto" w:fill="FFFFFF"/>
              </w:rPr>
            </w:pPr>
            <w:r w:rsidRPr="009D6D27">
              <w:rPr>
                <w:rFonts w:ascii="Times New Roman" w:hAnsi="Times New Roman" w:cs="Times New Roman"/>
                <w:sz w:val="24"/>
                <w:szCs w:val="24"/>
                <w:shd w:val="clear" w:color="auto" w:fill="FFFFFF"/>
              </w:rPr>
              <w:t>From Streets to Schools: A Children Transformative Approach to Education in Central River Region and Upper River Region in the Gambia " underscores the pressing need to address the multifaceted challenges hindering children from accessing education in the regions.</w:t>
            </w:r>
          </w:p>
          <w:p w:rsidR="00540269" w:rsidRPr="009D6D27" w:rsidRDefault="00540269" w:rsidP="00E63292">
            <w:pPr>
              <w:spacing w:after="240"/>
              <w:rPr>
                <w:rFonts w:ascii="Times New Roman" w:hAnsi="Times New Roman" w:cs="Times New Roman"/>
                <w:sz w:val="24"/>
                <w:szCs w:val="24"/>
                <w:shd w:val="clear" w:color="auto" w:fill="FFFFFF"/>
              </w:rPr>
            </w:pPr>
            <w:r w:rsidRPr="009D6D27">
              <w:rPr>
                <w:rFonts w:ascii="Times New Roman" w:hAnsi="Times New Roman" w:cs="Times New Roman"/>
                <w:sz w:val="24"/>
                <w:szCs w:val="24"/>
                <w:shd w:val="clear" w:color="auto" w:fill="FFFFFF"/>
              </w:rPr>
              <w:t>Central River Region and Upper River Region in the Gambia, educational access remains a significant concern, with various socio-economic, cultural, and infrastructural barriers impeding enrollment and quality learning experiences for children. According to data from the Gambia Education Data Survey (GEDS) and the National Bureau of Statistics (NBS):</w:t>
            </w:r>
          </w:p>
          <w:p w:rsidR="00540269" w:rsidRPr="009D6D27" w:rsidRDefault="00540269" w:rsidP="00E63292">
            <w:pPr>
              <w:spacing w:after="240"/>
              <w:rPr>
                <w:rFonts w:ascii="Times New Roman" w:hAnsi="Times New Roman" w:cs="Times New Roman"/>
                <w:sz w:val="24"/>
                <w:szCs w:val="24"/>
                <w:shd w:val="clear" w:color="auto" w:fill="FFFFFF"/>
              </w:rPr>
            </w:pPr>
            <w:r w:rsidRPr="009D6D27">
              <w:rPr>
                <w:rFonts w:ascii="Times New Roman" w:hAnsi="Times New Roman" w:cs="Times New Roman"/>
                <w:sz w:val="24"/>
                <w:szCs w:val="24"/>
                <w:shd w:val="clear" w:color="auto" w:fill="FFFFFF"/>
              </w:rPr>
              <w:t>Central River Region and Upper River Region has a net primary school enrollment rate of 70%, below the national average of 76%, indicating significant gaps in access to education." (NEDS)</w:t>
            </w:r>
          </w:p>
          <w:p w:rsidR="00540269" w:rsidRPr="009D6D27" w:rsidRDefault="00540269" w:rsidP="00E63292">
            <w:pPr>
              <w:spacing w:after="240"/>
              <w:rPr>
                <w:rFonts w:ascii="Times New Roman" w:hAnsi="Times New Roman" w:cs="Times New Roman"/>
                <w:sz w:val="24"/>
                <w:szCs w:val="24"/>
                <w:shd w:val="clear" w:color="auto" w:fill="FFFFFF"/>
              </w:rPr>
            </w:pPr>
            <w:r w:rsidRPr="009D6D27">
              <w:rPr>
                <w:rFonts w:ascii="Times New Roman" w:hAnsi="Times New Roman" w:cs="Times New Roman"/>
                <w:sz w:val="24"/>
                <w:szCs w:val="24"/>
                <w:shd w:val="clear" w:color="auto" w:fill="FFFFFF"/>
              </w:rPr>
              <w:t>"Poverty affects 45.1% of the population in CRR and URR of the Gambia, exacerbating challenges related to school fees, uniforms, and learning materials, particularly for marginalized families." (NBS)</w:t>
            </w:r>
          </w:p>
          <w:p w:rsidR="00540269" w:rsidRPr="009D6D27" w:rsidRDefault="00540269" w:rsidP="00E63292">
            <w:pPr>
              <w:spacing w:after="240"/>
              <w:rPr>
                <w:rFonts w:ascii="Times New Roman" w:hAnsi="Times New Roman" w:cs="Times New Roman"/>
                <w:sz w:val="24"/>
                <w:szCs w:val="24"/>
                <w:shd w:val="clear" w:color="auto" w:fill="FFFFFF"/>
              </w:rPr>
            </w:pPr>
            <w:r w:rsidRPr="009D6D27">
              <w:rPr>
                <w:rFonts w:ascii="Times New Roman" w:hAnsi="Times New Roman" w:cs="Times New Roman"/>
                <w:sz w:val="24"/>
                <w:szCs w:val="24"/>
                <w:shd w:val="clear" w:color="auto" w:fill="FFFFFF"/>
              </w:rPr>
              <w:t>"Gender disparities persist in education, with girls facing higher rates of dropout due to cultural norms, early marriage, and household responsibilities." (NEDS)</w:t>
            </w:r>
          </w:p>
          <w:p w:rsidR="00540269" w:rsidRPr="009D6D27" w:rsidRDefault="00540269" w:rsidP="00E63292">
            <w:pPr>
              <w:spacing w:after="240"/>
              <w:rPr>
                <w:rFonts w:ascii="Times New Roman" w:hAnsi="Times New Roman" w:cs="Times New Roman"/>
                <w:sz w:val="24"/>
                <w:szCs w:val="24"/>
                <w:shd w:val="clear" w:color="auto" w:fill="FFFFFF"/>
              </w:rPr>
            </w:pPr>
            <w:r w:rsidRPr="009D6D27">
              <w:rPr>
                <w:rFonts w:ascii="Times New Roman" w:hAnsi="Times New Roman" w:cs="Times New Roman"/>
                <w:sz w:val="24"/>
                <w:szCs w:val="24"/>
                <w:shd w:val="clear" w:color="auto" w:fill="FFFFFF"/>
              </w:rPr>
              <w:t>"An estimated 10,000 children live and work on the streets of Jos, facing heightened risks of exploitation, abuse, and lack of access to education." (Local NGOs)</w:t>
            </w:r>
          </w:p>
          <w:p w:rsidR="00540269" w:rsidRPr="009D6D27" w:rsidRDefault="00540269" w:rsidP="00E63292">
            <w:pPr>
              <w:spacing w:after="240"/>
              <w:rPr>
                <w:rFonts w:ascii="Times New Roman" w:hAnsi="Times New Roman" w:cs="Times New Roman"/>
                <w:sz w:val="24"/>
                <w:szCs w:val="24"/>
                <w:shd w:val="clear" w:color="auto" w:fill="FFFFFF"/>
              </w:rPr>
            </w:pPr>
            <w:r w:rsidRPr="009D6D27">
              <w:rPr>
                <w:rFonts w:ascii="Times New Roman" w:hAnsi="Times New Roman" w:cs="Times New Roman"/>
                <w:sz w:val="24"/>
                <w:szCs w:val="24"/>
                <w:shd w:val="clear" w:color="auto" w:fill="FFFFFF"/>
              </w:rPr>
              <w:t>"Inadequate educational infrastructure, including a shortage of schools, classrooms, and qualified teachers, poses significant challenges to delivering quality education, particularly in rural areas." (NBS)</w:t>
            </w:r>
          </w:p>
          <w:p w:rsidR="00540269" w:rsidRPr="00830B89" w:rsidRDefault="00540269" w:rsidP="001E4AE8">
            <w:pPr>
              <w:spacing w:after="240"/>
              <w:rPr>
                <w:rFonts w:ascii="Times New Roman" w:hAnsi="Times New Roman" w:cs="Times New Roman"/>
                <w:sz w:val="24"/>
                <w:szCs w:val="24"/>
              </w:rPr>
            </w:pPr>
            <w:r w:rsidRPr="009D6D27">
              <w:rPr>
                <w:rFonts w:ascii="Times New Roman" w:hAnsi="Times New Roman" w:cs="Times New Roman"/>
                <w:sz w:val="24"/>
                <w:szCs w:val="24"/>
                <w:shd w:val="clear" w:color="auto" w:fill="FFFFFF"/>
              </w:rPr>
              <w:t>These statistics illuminate the urgent need for a transformative approach to education in CRR and URR. By addressing the root causes of educational exclusion, including poverty, gender disparities, and inadequate infrastructure, the project aims to empower marginalized children, uplift communities, and foster sustainable development for a brighter future.</w:t>
            </w:r>
          </w:p>
        </w:tc>
      </w:tr>
      <w:tr w:rsidR="00540269" w:rsidRPr="00830B89" w:rsidTr="000E6577">
        <w:tc>
          <w:tcPr>
            <w:tcW w:w="3422" w:type="dxa"/>
            <w:shd w:val="clear" w:color="auto" w:fill="C6D9F1" w:themeFill="text2" w:themeFillTint="33"/>
          </w:tcPr>
          <w:p w:rsidR="00540269" w:rsidRPr="00830B89" w:rsidRDefault="00540269" w:rsidP="00830B89">
            <w:pPr>
              <w:keepNext/>
              <w:spacing w:before="240" w:after="60"/>
              <w:outlineLvl w:val="1"/>
              <w:rPr>
                <w:rFonts w:ascii="Times New Roman" w:eastAsia="Times New Roman" w:hAnsi="Times New Roman" w:cs="Times New Roman"/>
                <w:b/>
                <w:bCs/>
                <w:iCs/>
                <w:color w:val="000000"/>
                <w:sz w:val="24"/>
                <w:szCs w:val="24"/>
                <w:lang w:val="en-GB"/>
              </w:rPr>
            </w:pPr>
            <w:r w:rsidRPr="00830B89">
              <w:rPr>
                <w:rFonts w:ascii="Times New Roman" w:eastAsia="Times New Roman" w:hAnsi="Times New Roman" w:cs="Times New Roman"/>
                <w:b/>
                <w:bCs/>
                <w:iCs/>
                <w:color w:val="000000"/>
                <w:sz w:val="24"/>
                <w:szCs w:val="24"/>
                <w:lang w:val="en-GB"/>
              </w:rPr>
              <w:lastRenderedPageBreak/>
              <w:t xml:space="preserve">Project Objectives </w:t>
            </w:r>
          </w:p>
        </w:tc>
        <w:tc>
          <w:tcPr>
            <w:tcW w:w="5928" w:type="dxa"/>
          </w:tcPr>
          <w:p w:rsidR="00540269" w:rsidRPr="00B0390E" w:rsidRDefault="00540269" w:rsidP="00B0390E">
            <w:pPr>
              <w:rPr>
                <w:rFonts w:ascii="Times New Roman" w:hAnsi="Times New Roman" w:cs="Times New Roman"/>
                <w:sz w:val="24"/>
                <w:szCs w:val="24"/>
              </w:rPr>
            </w:pPr>
            <w:r w:rsidRPr="00830B89">
              <w:rPr>
                <w:rFonts w:ascii="Times New Roman" w:hAnsi="Times New Roman" w:cs="Times New Roman"/>
                <w:sz w:val="24"/>
                <w:szCs w:val="24"/>
              </w:rPr>
              <w:t>The purpose of the project is to improve a</w:t>
            </w:r>
            <w:r w:rsidR="00B0390E">
              <w:rPr>
                <w:rFonts w:ascii="Times New Roman" w:hAnsi="Times New Roman" w:cs="Times New Roman"/>
                <w:sz w:val="24"/>
                <w:szCs w:val="24"/>
              </w:rPr>
              <w:t>ccess to basic education for 100</w:t>
            </w:r>
            <w:r w:rsidRPr="00830B89">
              <w:rPr>
                <w:rFonts w:ascii="Times New Roman" w:hAnsi="Times New Roman" w:cs="Times New Roman"/>
                <w:sz w:val="24"/>
                <w:szCs w:val="24"/>
              </w:rPr>
              <w:t xml:space="preserve"> children through supporting the enrolment and retention of children missing out of schools in </w:t>
            </w:r>
            <w:r>
              <w:rPr>
                <w:rFonts w:ascii="Times New Roman" w:hAnsi="Times New Roman" w:cs="Times New Roman"/>
                <w:sz w:val="24"/>
                <w:szCs w:val="24"/>
              </w:rPr>
              <w:t>Central River Region and Upper River Region of the Gambia.</w:t>
            </w:r>
          </w:p>
        </w:tc>
      </w:tr>
      <w:tr w:rsidR="00540269" w:rsidRPr="00830B89" w:rsidTr="000E6577">
        <w:trPr>
          <w:trHeight w:val="233"/>
        </w:trPr>
        <w:tc>
          <w:tcPr>
            <w:tcW w:w="3422" w:type="dxa"/>
            <w:shd w:val="clear" w:color="auto" w:fill="C6D9F1" w:themeFill="text2" w:themeFillTint="33"/>
          </w:tcPr>
          <w:p w:rsidR="00540269" w:rsidRPr="00830B89" w:rsidRDefault="00540269" w:rsidP="00830B89">
            <w:pPr>
              <w:keepNext/>
              <w:spacing w:before="240" w:after="60"/>
              <w:outlineLvl w:val="1"/>
              <w:rPr>
                <w:rFonts w:ascii="Times New Roman" w:eastAsia="Times New Roman" w:hAnsi="Times New Roman" w:cs="Times New Roman"/>
                <w:b/>
                <w:bCs/>
                <w:iCs/>
                <w:color w:val="000000"/>
                <w:sz w:val="24"/>
                <w:szCs w:val="24"/>
                <w:lang w:val="en-GB"/>
              </w:rPr>
            </w:pPr>
            <w:r w:rsidRPr="00830B89">
              <w:rPr>
                <w:rFonts w:ascii="Times New Roman" w:eastAsia="Times New Roman" w:hAnsi="Times New Roman" w:cs="Times New Roman"/>
                <w:b/>
                <w:bCs/>
                <w:iCs/>
                <w:sz w:val="24"/>
                <w:szCs w:val="24"/>
                <w:lang w:val="en-GB"/>
              </w:rPr>
              <w:t>Project Intended Results</w:t>
            </w:r>
          </w:p>
        </w:tc>
        <w:tc>
          <w:tcPr>
            <w:tcW w:w="5928" w:type="dxa"/>
          </w:tcPr>
          <w:p w:rsidR="00AC61C5" w:rsidRDefault="003C3DCE" w:rsidP="00830B89">
            <w:pPr>
              <w:ind w:left="90"/>
              <w:rPr>
                <w:rFonts w:ascii="Times New Roman" w:hAnsi="Times New Roman" w:cs="Times New Roman"/>
                <w:sz w:val="24"/>
                <w:szCs w:val="24"/>
              </w:rPr>
            </w:pPr>
            <w:r>
              <w:rPr>
                <w:rFonts w:ascii="Times New Roman" w:hAnsi="Times New Roman" w:cs="Times New Roman"/>
                <w:color w:val="0D0D0D"/>
                <w:sz w:val="24"/>
                <w:szCs w:val="24"/>
                <w:shd w:val="clear" w:color="auto" w:fill="FFFFFF"/>
              </w:rPr>
              <w:t>T</w:t>
            </w:r>
            <w:r w:rsidR="00AC61C5" w:rsidRPr="00F47E0A">
              <w:rPr>
                <w:rFonts w:ascii="Times New Roman" w:hAnsi="Times New Roman" w:cs="Times New Roman"/>
                <w:color w:val="0D0D0D"/>
                <w:sz w:val="24"/>
                <w:szCs w:val="24"/>
                <w:shd w:val="clear" w:color="auto" w:fill="FFFFFF"/>
              </w:rPr>
              <w:t xml:space="preserve">he project </w:t>
            </w:r>
            <w:r w:rsidR="00AC61C5">
              <w:rPr>
                <w:rFonts w:ascii="Times New Roman" w:hAnsi="Times New Roman" w:cs="Times New Roman"/>
                <w:color w:val="0D0D0D"/>
                <w:sz w:val="24"/>
                <w:szCs w:val="24"/>
                <w:shd w:val="clear" w:color="auto" w:fill="FFFFFF"/>
              </w:rPr>
              <w:t>seek</w:t>
            </w:r>
            <w:r w:rsidR="00B0390E">
              <w:rPr>
                <w:rFonts w:ascii="Times New Roman" w:hAnsi="Times New Roman" w:cs="Times New Roman"/>
                <w:color w:val="0D0D0D"/>
                <w:sz w:val="24"/>
                <w:szCs w:val="24"/>
                <w:shd w:val="clear" w:color="auto" w:fill="FFFFFF"/>
              </w:rPr>
              <w:t>s</w:t>
            </w:r>
            <w:r w:rsidR="00AC61C5" w:rsidRPr="00F47E0A">
              <w:rPr>
                <w:rFonts w:ascii="Times New Roman" w:hAnsi="Times New Roman" w:cs="Times New Roman"/>
                <w:color w:val="0D0D0D"/>
                <w:sz w:val="24"/>
                <w:szCs w:val="24"/>
                <w:shd w:val="clear" w:color="auto" w:fill="FFFFFF"/>
              </w:rPr>
              <w:t xml:space="preserve"> to transform the lives of marginalized children in</w:t>
            </w:r>
            <w:r w:rsidR="00AC61C5">
              <w:rPr>
                <w:rFonts w:ascii="Times New Roman" w:hAnsi="Times New Roman" w:cs="Times New Roman"/>
                <w:color w:val="0D0D0D"/>
                <w:sz w:val="24"/>
                <w:szCs w:val="24"/>
                <w:shd w:val="clear" w:color="auto" w:fill="FFFFFF"/>
              </w:rPr>
              <w:t xml:space="preserve"> Central River Region and Upper River Region in the Gambia</w:t>
            </w:r>
            <w:r w:rsidR="00AC61C5" w:rsidRPr="00F47E0A">
              <w:rPr>
                <w:rFonts w:ascii="Times New Roman" w:hAnsi="Times New Roman" w:cs="Times New Roman"/>
                <w:color w:val="0D0D0D"/>
                <w:sz w:val="24"/>
                <w:szCs w:val="24"/>
                <w:shd w:val="clear" w:color="auto" w:fill="FFFFFF"/>
              </w:rPr>
              <w:t>, by providing them with equitable access to quality education, fostering community engagement, and empowering them to become agents of positive change in their communities, thereby breaking the cycle of poverty and creating a sustainable future for generations to come.</w:t>
            </w:r>
          </w:p>
          <w:p w:rsidR="00AC61C5" w:rsidRDefault="00AC61C5" w:rsidP="00830B89">
            <w:pPr>
              <w:ind w:left="90"/>
              <w:rPr>
                <w:rFonts w:ascii="Times New Roman" w:hAnsi="Times New Roman" w:cs="Times New Roman"/>
                <w:sz w:val="24"/>
                <w:szCs w:val="24"/>
              </w:rPr>
            </w:pPr>
          </w:p>
          <w:p w:rsidR="00540269" w:rsidRDefault="00540269" w:rsidP="00830B89">
            <w:pPr>
              <w:ind w:left="90"/>
              <w:rPr>
                <w:rFonts w:ascii="Times New Roman" w:hAnsi="Times New Roman" w:cs="Times New Roman"/>
                <w:sz w:val="24"/>
                <w:szCs w:val="24"/>
              </w:rPr>
            </w:pPr>
            <w:r w:rsidRPr="00830B89">
              <w:rPr>
                <w:rFonts w:ascii="Times New Roman" w:hAnsi="Times New Roman" w:cs="Times New Roman"/>
                <w:sz w:val="24"/>
                <w:szCs w:val="24"/>
              </w:rPr>
              <w:t>The expected results of the interventions have been summarized as follows:</w:t>
            </w:r>
          </w:p>
          <w:p w:rsidR="00731739" w:rsidRPr="00830B89" w:rsidRDefault="00731739" w:rsidP="00830B89">
            <w:pPr>
              <w:ind w:left="90"/>
              <w:rPr>
                <w:rFonts w:ascii="Times New Roman" w:hAnsi="Times New Roman" w:cs="Times New Roman"/>
                <w:sz w:val="24"/>
                <w:szCs w:val="24"/>
              </w:rPr>
            </w:pPr>
          </w:p>
          <w:p w:rsidR="00540269" w:rsidRPr="00731739" w:rsidRDefault="00540269" w:rsidP="00731739">
            <w:pPr>
              <w:pStyle w:val="ListParagraph"/>
              <w:numPr>
                <w:ilvl w:val="0"/>
                <w:numId w:val="8"/>
              </w:numPr>
              <w:rPr>
                <w:rFonts w:ascii="Times New Roman" w:hAnsi="Times New Roman" w:cs="Times New Roman"/>
                <w:sz w:val="24"/>
                <w:szCs w:val="24"/>
              </w:rPr>
            </w:pPr>
            <w:r w:rsidRPr="00731739">
              <w:rPr>
                <w:rFonts w:ascii="Times New Roman" w:hAnsi="Times New Roman" w:cs="Times New Roman"/>
                <w:sz w:val="24"/>
                <w:szCs w:val="24"/>
              </w:rPr>
              <w:t>100 out-of-school children supported to enroll</w:t>
            </w:r>
            <w:r w:rsidR="00B0390E" w:rsidRPr="00731739">
              <w:rPr>
                <w:rFonts w:ascii="Times New Roman" w:hAnsi="Times New Roman" w:cs="Times New Roman"/>
                <w:sz w:val="24"/>
                <w:szCs w:val="24"/>
              </w:rPr>
              <w:t xml:space="preserve"> into schools in 2 regions</w:t>
            </w:r>
            <w:r w:rsidRPr="00731739">
              <w:rPr>
                <w:rFonts w:ascii="Times New Roman" w:hAnsi="Times New Roman" w:cs="Times New Roman"/>
                <w:sz w:val="24"/>
                <w:szCs w:val="24"/>
              </w:rPr>
              <w:t>.</w:t>
            </w:r>
          </w:p>
          <w:p w:rsidR="00540269" w:rsidRPr="00830B89" w:rsidRDefault="00540269" w:rsidP="00B0390E">
            <w:pPr>
              <w:ind w:left="810"/>
              <w:rPr>
                <w:rFonts w:ascii="Times New Roman" w:hAnsi="Times New Roman" w:cs="Times New Roman"/>
                <w:color w:val="0D0D0D"/>
                <w:sz w:val="24"/>
                <w:szCs w:val="24"/>
                <w:shd w:val="clear" w:color="auto" w:fill="FFFFFF"/>
              </w:rPr>
            </w:pPr>
          </w:p>
        </w:tc>
      </w:tr>
      <w:tr w:rsidR="00540269" w:rsidRPr="00830B89" w:rsidTr="000E6577">
        <w:trPr>
          <w:trHeight w:val="233"/>
        </w:trPr>
        <w:tc>
          <w:tcPr>
            <w:tcW w:w="3422" w:type="dxa"/>
            <w:shd w:val="clear" w:color="auto" w:fill="C6D9F1" w:themeFill="text2" w:themeFillTint="33"/>
          </w:tcPr>
          <w:p w:rsidR="00540269" w:rsidRPr="00830B89" w:rsidRDefault="00540269" w:rsidP="00830B89">
            <w:pPr>
              <w:keepNext/>
              <w:spacing w:before="240" w:after="60"/>
              <w:outlineLvl w:val="1"/>
              <w:rPr>
                <w:rFonts w:ascii="Times New Roman" w:eastAsia="Times New Roman" w:hAnsi="Times New Roman" w:cs="Times New Roman"/>
                <w:b/>
                <w:bCs/>
                <w:iCs/>
                <w:color w:val="000000"/>
                <w:sz w:val="24"/>
                <w:szCs w:val="24"/>
                <w:lang w:val="en-GB"/>
              </w:rPr>
            </w:pPr>
            <w:r w:rsidRPr="00830B89">
              <w:rPr>
                <w:rFonts w:ascii="Times New Roman" w:hAnsi="Times New Roman" w:cs="Times New Roman"/>
                <w:b/>
                <w:sz w:val="24"/>
                <w:szCs w:val="24"/>
              </w:rPr>
              <w:t>Project activities to be carry out, what the money will be used for.</w:t>
            </w:r>
          </w:p>
        </w:tc>
        <w:tc>
          <w:tcPr>
            <w:tcW w:w="5928" w:type="dxa"/>
          </w:tcPr>
          <w:p w:rsidR="00540269" w:rsidRPr="00830B89" w:rsidRDefault="00540269" w:rsidP="00830B89">
            <w:pPr>
              <w:tabs>
                <w:tab w:val="left" w:pos="540"/>
              </w:tabs>
              <w:rPr>
                <w:rFonts w:ascii="Times New Roman" w:hAnsi="Times New Roman" w:cs="Times New Roman"/>
                <w:sz w:val="24"/>
                <w:szCs w:val="24"/>
              </w:rPr>
            </w:pPr>
            <w:r w:rsidRPr="00830B89">
              <w:rPr>
                <w:rFonts w:ascii="Times New Roman" w:hAnsi="Times New Roman" w:cs="Times New Roman"/>
                <w:sz w:val="24"/>
                <w:szCs w:val="24"/>
              </w:rPr>
              <w:t>Activities to be implemented to achieve the objectives and accomplish the goal are as follows:</w:t>
            </w:r>
          </w:p>
          <w:p w:rsidR="00540269" w:rsidRPr="00830B89" w:rsidRDefault="00540269" w:rsidP="00830B89">
            <w:pPr>
              <w:rPr>
                <w:rFonts w:ascii="Times New Roman" w:hAnsi="Times New Roman" w:cs="Times New Roman"/>
                <w:sz w:val="24"/>
                <w:szCs w:val="24"/>
              </w:rPr>
            </w:pPr>
          </w:p>
          <w:p w:rsidR="00540269" w:rsidRPr="00830B89" w:rsidRDefault="00540269" w:rsidP="00B0390E">
            <w:pPr>
              <w:pStyle w:val="ListParagraph"/>
              <w:numPr>
                <w:ilvl w:val="0"/>
                <w:numId w:val="7"/>
              </w:numPr>
              <w:rPr>
                <w:rFonts w:ascii="Times New Roman" w:hAnsi="Times New Roman" w:cs="Times New Roman"/>
                <w:sz w:val="24"/>
                <w:szCs w:val="24"/>
              </w:rPr>
            </w:pPr>
            <w:r w:rsidRPr="00B0390E">
              <w:rPr>
                <w:rFonts w:ascii="Times New Roman" w:hAnsi="Times New Roman" w:cs="Times New Roman"/>
                <w:sz w:val="24"/>
                <w:szCs w:val="24"/>
              </w:rPr>
              <w:t>Pro</w:t>
            </w:r>
            <w:r w:rsidR="00B0390E">
              <w:rPr>
                <w:rFonts w:ascii="Times New Roman" w:hAnsi="Times New Roman" w:cs="Times New Roman"/>
                <w:sz w:val="24"/>
                <w:szCs w:val="24"/>
              </w:rPr>
              <w:t>vision of re</w:t>
            </w:r>
            <w:r w:rsidR="00731739">
              <w:rPr>
                <w:rFonts w:ascii="Times New Roman" w:hAnsi="Times New Roman" w:cs="Times New Roman"/>
                <w:sz w:val="24"/>
                <w:szCs w:val="24"/>
              </w:rPr>
              <w:t>ading and writing materials for</w:t>
            </w:r>
            <w:r w:rsidRPr="00B0390E">
              <w:rPr>
                <w:rFonts w:ascii="Times New Roman" w:hAnsi="Times New Roman" w:cs="Times New Roman"/>
                <w:sz w:val="24"/>
                <w:szCs w:val="24"/>
              </w:rPr>
              <w:t xml:space="preserve"> 100 children out</w:t>
            </w:r>
            <w:r w:rsidR="003C3DCE">
              <w:rPr>
                <w:rFonts w:ascii="Times New Roman" w:hAnsi="Times New Roman" w:cs="Times New Roman"/>
                <w:sz w:val="24"/>
                <w:szCs w:val="24"/>
              </w:rPr>
              <w:t xml:space="preserve"> of school to start or continue </w:t>
            </w:r>
            <w:r w:rsidRPr="00B0390E">
              <w:rPr>
                <w:rFonts w:ascii="Times New Roman" w:hAnsi="Times New Roman" w:cs="Times New Roman"/>
                <w:sz w:val="24"/>
                <w:szCs w:val="24"/>
              </w:rPr>
              <w:t xml:space="preserve">schooling. </w:t>
            </w:r>
          </w:p>
        </w:tc>
      </w:tr>
      <w:tr w:rsidR="00540269" w:rsidRPr="00830B89" w:rsidTr="000E6577">
        <w:trPr>
          <w:trHeight w:val="233"/>
        </w:trPr>
        <w:tc>
          <w:tcPr>
            <w:tcW w:w="3422" w:type="dxa"/>
            <w:shd w:val="clear" w:color="auto" w:fill="C6D9F1" w:themeFill="text2" w:themeFillTint="33"/>
          </w:tcPr>
          <w:p w:rsidR="00540269" w:rsidRPr="009E6DAC" w:rsidRDefault="00540269" w:rsidP="009E6DAC">
            <w:pPr>
              <w:spacing w:before="240" w:after="240" w:line="276" w:lineRule="auto"/>
              <w:rPr>
                <w:rFonts w:ascii="Times New Roman" w:hAnsi="Times New Roman" w:cs="Times New Roman"/>
                <w:b/>
                <w:sz w:val="24"/>
                <w:szCs w:val="24"/>
              </w:rPr>
            </w:pPr>
            <w:r>
              <w:rPr>
                <w:rFonts w:ascii="Times New Roman" w:hAnsi="Times New Roman" w:cs="Times New Roman"/>
                <w:b/>
                <w:sz w:val="24"/>
                <w:szCs w:val="24"/>
              </w:rPr>
              <w:t xml:space="preserve">Project Justification and Significance  </w:t>
            </w:r>
          </w:p>
          <w:p w:rsidR="00540269" w:rsidRPr="00830B89" w:rsidRDefault="00540269" w:rsidP="00830B89">
            <w:pPr>
              <w:spacing w:before="240"/>
              <w:rPr>
                <w:rFonts w:ascii="Times New Roman" w:hAnsi="Times New Roman" w:cs="Times New Roman"/>
                <w:b/>
                <w:sz w:val="24"/>
                <w:szCs w:val="24"/>
              </w:rPr>
            </w:pPr>
          </w:p>
        </w:tc>
        <w:tc>
          <w:tcPr>
            <w:tcW w:w="5928" w:type="dxa"/>
          </w:tcPr>
          <w:p w:rsidR="00B0390E" w:rsidRDefault="00540269" w:rsidP="00830B89">
            <w:pPr>
              <w:ind w:left="90"/>
              <w:rPr>
                <w:rFonts w:ascii="Times New Roman" w:hAnsi="Times New Roman" w:cs="Times New Roman"/>
                <w:sz w:val="24"/>
                <w:szCs w:val="24"/>
              </w:rPr>
            </w:pPr>
            <w:r w:rsidRPr="009E6DAC">
              <w:rPr>
                <w:rFonts w:ascii="Times New Roman" w:hAnsi="Times New Roman" w:cs="Times New Roman"/>
                <w:sz w:val="24"/>
                <w:szCs w:val="24"/>
              </w:rPr>
              <w:t>The project "From Streets to Schools: A Children Transformative Approach to</w:t>
            </w:r>
            <w:r>
              <w:rPr>
                <w:rFonts w:ascii="Times New Roman" w:hAnsi="Times New Roman" w:cs="Times New Roman"/>
                <w:sz w:val="24"/>
                <w:szCs w:val="24"/>
              </w:rPr>
              <w:t xml:space="preserve"> Education in Central River Region and Upper River Region of the Gambia</w:t>
            </w:r>
            <w:r w:rsidRPr="009E6DAC">
              <w:rPr>
                <w:rFonts w:ascii="Times New Roman" w:hAnsi="Times New Roman" w:cs="Times New Roman"/>
                <w:sz w:val="24"/>
                <w:szCs w:val="24"/>
              </w:rPr>
              <w:t>" is justified by the urgent need to address the educational exclusion faced by marginalized children in the region</w:t>
            </w:r>
            <w:r>
              <w:rPr>
                <w:rFonts w:ascii="Times New Roman" w:hAnsi="Times New Roman" w:cs="Times New Roman"/>
                <w:sz w:val="24"/>
                <w:szCs w:val="24"/>
              </w:rPr>
              <w:t>s</w:t>
            </w:r>
            <w:r w:rsidRPr="009E6DAC">
              <w:rPr>
                <w:rFonts w:ascii="Times New Roman" w:hAnsi="Times New Roman" w:cs="Times New Roman"/>
                <w:sz w:val="24"/>
                <w:szCs w:val="24"/>
              </w:rPr>
              <w:t>. With a primary school enrollment rate below the national average and significant disparities in access to qu</w:t>
            </w:r>
            <w:r>
              <w:rPr>
                <w:rFonts w:ascii="Times New Roman" w:hAnsi="Times New Roman" w:cs="Times New Roman"/>
                <w:sz w:val="24"/>
                <w:szCs w:val="24"/>
              </w:rPr>
              <w:t>ality education, children in these 2 regions</w:t>
            </w:r>
            <w:r w:rsidRPr="009E6DAC">
              <w:rPr>
                <w:rFonts w:ascii="Times New Roman" w:hAnsi="Times New Roman" w:cs="Times New Roman"/>
                <w:sz w:val="24"/>
                <w:szCs w:val="24"/>
              </w:rPr>
              <w:t xml:space="preserve"> face formidable barriers to learning. </w:t>
            </w:r>
          </w:p>
          <w:p w:rsidR="00B0390E" w:rsidRDefault="00B0390E" w:rsidP="00830B89">
            <w:pPr>
              <w:ind w:left="90"/>
              <w:rPr>
                <w:rFonts w:ascii="Times New Roman" w:hAnsi="Times New Roman" w:cs="Times New Roman"/>
                <w:sz w:val="24"/>
                <w:szCs w:val="24"/>
              </w:rPr>
            </w:pPr>
          </w:p>
          <w:p w:rsidR="00540269" w:rsidRPr="00830B89" w:rsidRDefault="00540269" w:rsidP="00720275">
            <w:pPr>
              <w:ind w:left="90"/>
              <w:rPr>
                <w:rFonts w:ascii="Times New Roman" w:hAnsi="Times New Roman" w:cs="Times New Roman"/>
                <w:sz w:val="24"/>
                <w:szCs w:val="24"/>
              </w:rPr>
            </w:pPr>
            <w:r w:rsidRPr="009E6DAC">
              <w:rPr>
                <w:rFonts w:ascii="Times New Roman" w:hAnsi="Times New Roman" w:cs="Times New Roman"/>
                <w:sz w:val="24"/>
                <w:szCs w:val="24"/>
              </w:rPr>
              <w:t xml:space="preserve">By providing targeted interventions to </w:t>
            </w:r>
            <w:proofErr w:type="gramStart"/>
            <w:r w:rsidR="00720275">
              <w:rPr>
                <w:rFonts w:ascii="Times New Roman" w:hAnsi="Times New Roman" w:cs="Times New Roman"/>
                <w:sz w:val="24"/>
                <w:szCs w:val="24"/>
              </w:rPr>
              <w:t xml:space="preserve">  </w:t>
            </w:r>
            <w:r w:rsidRPr="009E6DAC">
              <w:rPr>
                <w:rFonts w:ascii="Times New Roman" w:hAnsi="Times New Roman" w:cs="Times New Roman"/>
                <w:sz w:val="24"/>
                <w:szCs w:val="24"/>
              </w:rPr>
              <w:t>,</w:t>
            </w:r>
            <w:proofErr w:type="gramEnd"/>
            <w:r w:rsidRPr="009E6DAC">
              <w:rPr>
                <w:rFonts w:ascii="Times New Roman" w:hAnsi="Times New Roman" w:cs="Times New Roman"/>
                <w:sz w:val="24"/>
                <w:szCs w:val="24"/>
              </w:rPr>
              <w:t xml:space="preserve"> the project aims to break the cycle of poverty and create pathways for social mobility and inclusion. Moreover, investing in education is crucial for sustainable development and long-term prosperity, as educated individuals are better equipped to contribute meaningfully to their communities and economies. By prioritizing education, the project not only transforms the lives of individual children but also fosters community development and builds a more equitable and prosperous future for</w:t>
            </w:r>
            <w:r>
              <w:rPr>
                <w:rFonts w:ascii="Times New Roman" w:hAnsi="Times New Roman" w:cs="Times New Roman"/>
                <w:sz w:val="24"/>
                <w:szCs w:val="24"/>
              </w:rPr>
              <w:t xml:space="preserve"> Central River Region and Upper River Region, Gambia</w:t>
            </w:r>
            <w:r w:rsidRPr="009E6DAC">
              <w:rPr>
                <w:rFonts w:ascii="Times New Roman" w:hAnsi="Times New Roman" w:cs="Times New Roman"/>
                <w:sz w:val="24"/>
                <w:szCs w:val="24"/>
              </w:rPr>
              <w:t xml:space="preserve"> as a whole</w:t>
            </w:r>
            <w:r>
              <w:rPr>
                <w:rFonts w:ascii="Times New Roman" w:hAnsi="Times New Roman" w:cs="Times New Roman"/>
                <w:sz w:val="24"/>
                <w:szCs w:val="24"/>
              </w:rPr>
              <w:t xml:space="preserve">. </w:t>
            </w:r>
          </w:p>
        </w:tc>
      </w:tr>
      <w:tr w:rsidR="00540269" w:rsidRPr="00830B89" w:rsidTr="000E6577">
        <w:trPr>
          <w:trHeight w:val="233"/>
        </w:trPr>
        <w:tc>
          <w:tcPr>
            <w:tcW w:w="3422" w:type="dxa"/>
            <w:shd w:val="clear" w:color="auto" w:fill="C6D9F1" w:themeFill="text2" w:themeFillTint="33"/>
          </w:tcPr>
          <w:p w:rsidR="00540269" w:rsidRPr="00830B89" w:rsidRDefault="00540269" w:rsidP="00830B89">
            <w:pPr>
              <w:spacing w:before="240"/>
              <w:rPr>
                <w:rFonts w:ascii="Times New Roman" w:hAnsi="Times New Roman" w:cs="Times New Roman"/>
                <w:b/>
                <w:sz w:val="24"/>
                <w:szCs w:val="24"/>
              </w:rPr>
            </w:pPr>
            <w:r>
              <w:rPr>
                <w:rFonts w:ascii="Times New Roman" w:hAnsi="Times New Roman" w:cs="Times New Roman"/>
                <w:b/>
                <w:sz w:val="24"/>
                <w:szCs w:val="24"/>
              </w:rPr>
              <w:lastRenderedPageBreak/>
              <w:t xml:space="preserve">Project </w:t>
            </w:r>
            <w:r w:rsidRPr="00830B89">
              <w:rPr>
                <w:rFonts w:ascii="Times New Roman" w:hAnsi="Times New Roman" w:cs="Times New Roman"/>
                <w:b/>
                <w:sz w:val="24"/>
                <w:szCs w:val="24"/>
              </w:rPr>
              <w:t xml:space="preserve">Methodology/strategy for operation  </w:t>
            </w:r>
          </w:p>
        </w:tc>
        <w:tc>
          <w:tcPr>
            <w:tcW w:w="5928" w:type="dxa"/>
          </w:tcPr>
          <w:p w:rsidR="00B0390E" w:rsidRPr="00830B89" w:rsidRDefault="00FA0E01" w:rsidP="00830B89">
            <w:pPr>
              <w:rPr>
                <w:rFonts w:ascii="Times New Roman" w:hAnsi="Times New Roman" w:cs="Times New Roman"/>
                <w:sz w:val="24"/>
                <w:szCs w:val="24"/>
              </w:rPr>
            </w:pPr>
            <w:r>
              <w:rPr>
                <w:rFonts w:ascii="Times New Roman" w:hAnsi="Times New Roman" w:cs="Times New Roman"/>
                <w:sz w:val="24"/>
                <w:szCs w:val="24"/>
              </w:rPr>
              <w:t>BHA will work in hands with community members in other to identify vulnerable children in need of educational support for them to be enroll in schools and acquire knowledge.</w:t>
            </w:r>
          </w:p>
          <w:p w:rsidR="00540269" w:rsidRPr="00DC1374" w:rsidRDefault="00FA0E01" w:rsidP="00FA0E01">
            <w:pPr>
              <w:spacing w:before="240"/>
              <w:rPr>
                <w:rFonts w:ascii="Times New Roman" w:hAnsi="Times New Roman" w:cs="Times New Roman"/>
                <w:color w:val="FF0000"/>
                <w:sz w:val="24"/>
                <w:szCs w:val="24"/>
              </w:rPr>
            </w:pPr>
            <w:r w:rsidRPr="00FA0E01">
              <w:rPr>
                <w:rFonts w:ascii="Times New Roman" w:hAnsi="Times New Roman" w:cs="Times New Roman"/>
                <w:sz w:val="24"/>
                <w:szCs w:val="24"/>
              </w:rPr>
              <w:t xml:space="preserve">This </w:t>
            </w:r>
            <w:r>
              <w:rPr>
                <w:rFonts w:ascii="Times New Roman" w:hAnsi="Times New Roman" w:cs="Times New Roman"/>
                <w:sz w:val="24"/>
                <w:szCs w:val="24"/>
              </w:rPr>
              <w:t xml:space="preserve">project will identify 100 children </w:t>
            </w:r>
            <w:r w:rsidR="00856F85">
              <w:rPr>
                <w:rFonts w:ascii="Times New Roman" w:hAnsi="Times New Roman" w:cs="Times New Roman"/>
                <w:sz w:val="24"/>
                <w:szCs w:val="24"/>
              </w:rPr>
              <w:t xml:space="preserve">and </w:t>
            </w:r>
            <w:r>
              <w:rPr>
                <w:rFonts w:ascii="Times New Roman" w:hAnsi="Times New Roman" w:cs="Times New Roman"/>
                <w:sz w:val="24"/>
                <w:szCs w:val="24"/>
              </w:rPr>
              <w:t>provide</w:t>
            </w:r>
            <w:r w:rsidR="00856F85">
              <w:rPr>
                <w:rFonts w:ascii="Times New Roman" w:hAnsi="Times New Roman" w:cs="Times New Roman"/>
                <w:sz w:val="24"/>
                <w:szCs w:val="24"/>
              </w:rPr>
              <w:t xml:space="preserve"> them with</w:t>
            </w:r>
            <w:r>
              <w:rPr>
                <w:rFonts w:ascii="Times New Roman" w:hAnsi="Times New Roman" w:cs="Times New Roman"/>
                <w:sz w:val="24"/>
                <w:szCs w:val="24"/>
              </w:rPr>
              <w:t xml:space="preserve"> </w:t>
            </w:r>
            <w:r w:rsidR="00856F85">
              <w:rPr>
                <w:rFonts w:ascii="Times New Roman" w:hAnsi="Times New Roman" w:cs="Times New Roman"/>
                <w:sz w:val="24"/>
                <w:szCs w:val="24"/>
              </w:rPr>
              <w:t>learning</w:t>
            </w:r>
            <w:r>
              <w:rPr>
                <w:rFonts w:ascii="Times New Roman" w:hAnsi="Times New Roman" w:cs="Times New Roman"/>
                <w:sz w:val="24"/>
                <w:szCs w:val="24"/>
              </w:rPr>
              <w:t xml:space="preserve"> materials such as excise boo</w:t>
            </w:r>
            <w:r w:rsidR="00856F85">
              <w:rPr>
                <w:rFonts w:ascii="Times New Roman" w:hAnsi="Times New Roman" w:cs="Times New Roman"/>
                <w:sz w:val="24"/>
                <w:szCs w:val="24"/>
              </w:rPr>
              <w:t>k</w:t>
            </w:r>
            <w:r>
              <w:rPr>
                <w:rFonts w:ascii="Times New Roman" w:hAnsi="Times New Roman" w:cs="Times New Roman"/>
                <w:sz w:val="24"/>
                <w:szCs w:val="24"/>
              </w:rPr>
              <w:t>s, reading books, pencils, uniform,  school bags, school shoe</w:t>
            </w:r>
            <w:r w:rsidR="00856F85">
              <w:rPr>
                <w:rFonts w:ascii="Times New Roman" w:hAnsi="Times New Roman" w:cs="Times New Roman"/>
                <w:sz w:val="24"/>
                <w:szCs w:val="24"/>
              </w:rPr>
              <w:t>,</w:t>
            </w:r>
            <w:r>
              <w:rPr>
                <w:rFonts w:ascii="Times New Roman" w:hAnsi="Times New Roman" w:cs="Times New Roman"/>
                <w:sz w:val="24"/>
                <w:szCs w:val="24"/>
              </w:rPr>
              <w:t xml:space="preserve"> set box</w:t>
            </w:r>
            <w:r w:rsidR="00856F85">
              <w:rPr>
                <w:rFonts w:ascii="Times New Roman" w:hAnsi="Times New Roman" w:cs="Times New Roman"/>
                <w:sz w:val="24"/>
                <w:szCs w:val="24"/>
              </w:rPr>
              <w:t xml:space="preserve"> etc.</w:t>
            </w:r>
          </w:p>
        </w:tc>
      </w:tr>
      <w:tr w:rsidR="00540269" w:rsidRPr="00830B89" w:rsidTr="000E6577">
        <w:trPr>
          <w:trHeight w:val="233"/>
        </w:trPr>
        <w:tc>
          <w:tcPr>
            <w:tcW w:w="3422" w:type="dxa"/>
            <w:shd w:val="clear" w:color="auto" w:fill="C6D9F1" w:themeFill="text2" w:themeFillTint="33"/>
          </w:tcPr>
          <w:p w:rsidR="00540269" w:rsidRPr="00830B89" w:rsidRDefault="00540269" w:rsidP="00830B89">
            <w:pPr>
              <w:spacing w:before="240"/>
              <w:rPr>
                <w:rFonts w:ascii="Times New Roman" w:hAnsi="Times New Roman" w:cs="Times New Roman"/>
                <w:b/>
                <w:sz w:val="24"/>
                <w:szCs w:val="24"/>
              </w:rPr>
            </w:pPr>
            <w:r>
              <w:rPr>
                <w:rFonts w:ascii="Times New Roman" w:hAnsi="Times New Roman" w:cs="Times New Roman"/>
                <w:b/>
                <w:sz w:val="24"/>
                <w:szCs w:val="24"/>
              </w:rPr>
              <w:t xml:space="preserve">Project </w:t>
            </w:r>
            <w:r w:rsidRPr="00830B89">
              <w:rPr>
                <w:rFonts w:ascii="Times New Roman" w:hAnsi="Times New Roman" w:cs="Times New Roman"/>
                <w:b/>
                <w:sz w:val="24"/>
                <w:szCs w:val="24"/>
              </w:rPr>
              <w:t xml:space="preserve">Sustainability </w:t>
            </w:r>
          </w:p>
        </w:tc>
        <w:tc>
          <w:tcPr>
            <w:tcW w:w="5928" w:type="dxa"/>
          </w:tcPr>
          <w:p w:rsidR="00B0390E" w:rsidRDefault="0006483C" w:rsidP="00830B89">
            <w:pPr>
              <w:rPr>
                <w:rFonts w:ascii="Times New Roman" w:hAnsi="Times New Roman" w:cs="Times New Roman"/>
                <w:sz w:val="24"/>
                <w:szCs w:val="24"/>
              </w:rPr>
            </w:pPr>
            <w:r>
              <w:rPr>
                <w:rFonts w:ascii="Times New Roman" w:hAnsi="Times New Roman" w:cs="Times New Roman"/>
                <w:sz w:val="24"/>
                <w:szCs w:val="24"/>
              </w:rPr>
              <w:t>BHA will work</w:t>
            </w:r>
            <w:r w:rsidR="00B0390E">
              <w:rPr>
                <w:rFonts w:ascii="Times New Roman" w:hAnsi="Times New Roman" w:cs="Times New Roman"/>
                <w:sz w:val="24"/>
                <w:szCs w:val="24"/>
              </w:rPr>
              <w:t xml:space="preserve"> in partnership will other </w:t>
            </w:r>
            <w:r>
              <w:rPr>
                <w:rFonts w:ascii="Times New Roman" w:hAnsi="Times New Roman" w:cs="Times New Roman"/>
                <w:sz w:val="24"/>
                <w:szCs w:val="24"/>
              </w:rPr>
              <w:t>stakeholders and government to continue providing support to these vulnerable children.</w:t>
            </w:r>
          </w:p>
          <w:p w:rsidR="00540269" w:rsidRPr="00830B89" w:rsidRDefault="00540269" w:rsidP="00830B89">
            <w:pPr>
              <w:rPr>
                <w:rFonts w:ascii="Times New Roman" w:hAnsi="Times New Roman" w:cs="Times New Roman"/>
                <w:sz w:val="24"/>
                <w:szCs w:val="24"/>
              </w:rPr>
            </w:pPr>
          </w:p>
          <w:p w:rsidR="00540269" w:rsidRPr="00830B89" w:rsidRDefault="0006483C" w:rsidP="0006483C">
            <w:pPr>
              <w:spacing w:after="120"/>
              <w:rPr>
                <w:rFonts w:ascii="Times New Roman" w:hAnsi="Times New Roman" w:cs="Times New Roman"/>
                <w:sz w:val="24"/>
                <w:szCs w:val="24"/>
              </w:rPr>
            </w:pPr>
            <w:r>
              <w:rPr>
                <w:rFonts w:ascii="Times New Roman" w:eastAsia="Times New Roman" w:hAnsi="Times New Roman" w:cs="Times New Roman"/>
                <w:sz w:val="24"/>
                <w:szCs w:val="24"/>
                <w:lang w:val="en-GB"/>
              </w:rPr>
              <w:t>Furthermore, BHA</w:t>
            </w:r>
            <w:r w:rsidR="00540269" w:rsidRPr="00830B89">
              <w:rPr>
                <w:rFonts w:ascii="Times New Roman" w:eastAsia="Times New Roman" w:hAnsi="Times New Roman" w:cs="Times New Roman"/>
                <w:sz w:val="24"/>
                <w:szCs w:val="24"/>
                <w:lang w:val="en-GB"/>
              </w:rPr>
              <w:t xml:space="preserve"> professional staff would c</w:t>
            </w:r>
            <w:r w:rsidR="00856F85">
              <w:rPr>
                <w:rFonts w:ascii="Times New Roman" w:eastAsia="Times New Roman" w:hAnsi="Times New Roman" w:cs="Times New Roman"/>
                <w:sz w:val="24"/>
                <w:szCs w:val="24"/>
                <w:lang w:val="en-GB"/>
              </w:rPr>
              <w:t>ontinue to visit the children and their parents</w:t>
            </w:r>
            <w:r w:rsidR="00540269" w:rsidRPr="00830B89">
              <w:rPr>
                <w:rFonts w:ascii="Times New Roman" w:eastAsia="Times New Roman" w:hAnsi="Times New Roman" w:cs="Times New Roman"/>
                <w:sz w:val="24"/>
                <w:szCs w:val="24"/>
                <w:lang w:val="en-GB"/>
              </w:rPr>
              <w:t xml:space="preserve"> to offer them technical support after the project has winded up, as we would be working with</w:t>
            </w:r>
            <w:r>
              <w:rPr>
                <w:rFonts w:ascii="Times New Roman" w:eastAsia="Times New Roman" w:hAnsi="Times New Roman" w:cs="Times New Roman"/>
                <w:sz w:val="24"/>
                <w:szCs w:val="24"/>
                <w:lang w:val="en-GB"/>
              </w:rPr>
              <w:t xml:space="preserve"> Ministry of Lower Basic Education</w:t>
            </w:r>
            <w:r w:rsidR="00540269" w:rsidRPr="00830B89">
              <w:rPr>
                <w:rFonts w:ascii="Times New Roman" w:eastAsia="Times New Roman" w:hAnsi="Times New Roman" w:cs="Times New Roman"/>
                <w:sz w:val="24"/>
                <w:szCs w:val="24"/>
                <w:lang w:val="en-GB"/>
              </w:rPr>
              <w:t xml:space="preserve"> to develop other </w:t>
            </w:r>
            <w:r>
              <w:rPr>
                <w:rFonts w:ascii="Times New Roman" w:eastAsia="Times New Roman" w:hAnsi="Times New Roman" w:cs="Times New Roman"/>
                <w:sz w:val="24"/>
                <w:szCs w:val="24"/>
                <w:lang w:val="en-GB"/>
              </w:rPr>
              <w:t xml:space="preserve">strategies in other to continue providing educational needs for </w:t>
            </w:r>
            <w:r w:rsidR="00856F85">
              <w:rPr>
                <w:rFonts w:ascii="Times New Roman" w:eastAsia="Times New Roman" w:hAnsi="Times New Roman" w:cs="Times New Roman"/>
                <w:sz w:val="24"/>
                <w:szCs w:val="24"/>
                <w:lang w:val="en-GB"/>
              </w:rPr>
              <w:t xml:space="preserve">vulnerable </w:t>
            </w:r>
            <w:r>
              <w:rPr>
                <w:rFonts w:ascii="Times New Roman" w:eastAsia="Times New Roman" w:hAnsi="Times New Roman" w:cs="Times New Roman"/>
                <w:sz w:val="24"/>
                <w:szCs w:val="24"/>
                <w:lang w:val="en-GB"/>
              </w:rPr>
              <w:t>children</w:t>
            </w:r>
            <w:r w:rsidR="00856F85">
              <w:rPr>
                <w:rFonts w:ascii="Times New Roman" w:eastAsia="Times New Roman" w:hAnsi="Times New Roman" w:cs="Times New Roman"/>
                <w:sz w:val="24"/>
                <w:szCs w:val="24"/>
                <w:lang w:val="en-GB"/>
              </w:rPr>
              <w:t xml:space="preserve"> in this two regions</w:t>
            </w:r>
            <w:r>
              <w:rPr>
                <w:rFonts w:ascii="Times New Roman" w:eastAsia="Times New Roman" w:hAnsi="Times New Roman" w:cs="Times New Roman"/>
                <w:sz w:val="24"/>
                <w:szCs w:val="24"/>
                <w:lang w:val="en-GB"/>
              </w:rPr>
              <w:t>.</w:t>
            </w:r>
            <w:r w:rsidRPr="00830B89">
              <w:rPr>
                <w:rFonts w:ascii="Times New Roman" w:hAnsi="Times New Roman" w:cs="Times New Roman"/>
                <w:sz w:val="24"/>
                <w:szCs w:val="24"/>
              </w:rPr>
              <w:t xml:space="preserve"> </w:t>
            </w:r>
          </w:p>
        </w:tc>
      </w:tr>
      <w:tr w:rsidR="00540269" w:rsidRPr="00830B89" w:rsidTr="000E6577">
        <w:trPr>
          <w:trHeight w:val="233"/>
        </w:trPr>
        <w:tc>
          <w:tcPr>
            <w:tcW w:w="3422" w:type="dxa"/>
            <w:shd w:val="clear" w:color="auto" w:fill="C6D9F1" w:themeFill="text2" w:themeFillTint="33"/>
          </w:tcPr>
          <w:p w:rsidR="00540269" w:rsidRPr="00830B89" w:rsidRDefault="00540269" w:rsidP="00830B89">
            <w:pPr>
              <w:spacing w:before="240"/>
              <w:rPr>
                <w:rFonts w:ascii="Times New Roman" w:hAnsi="Times New Roman" w:cs="Times New Roman"/>
                <w:b/>
                <w:sz w:val="24"/>
                <w:szCs w:val="24"/>
              </w:rPr>
            </w:pPr>
            <w:bookmarkStart w:id="0" w:name="_Toc267561841"/>
            <w:r w:rsidRPr="009C663F">
              <w:rPr>
                <w:rFonts w:ascii="Times New Roman" w:hAnsi="Times New Roman" w:cs="Times New Roman"/>
                <w:b/>
                <w:color w:val="000000"/>
                <w:sz w:val="24"/>
                <w:szCs w:val="24"/>
              </w:rPr>
              <w:t xml:space="preserve">Project </w:t>
            </w:r>
            <w:r w:rsidRPr="00830B89">
              <w:rPr>
                <w:rFonts w:ascii="Times New Roman" w:hAnsi="Times New Roman" w:cs="Times New Roman"/>
                <w:b/>
                <w:color w:val="000000"/>
                <w:sz w:val="24"/>
                <w:szCs w:val="24"/>
              </w:rPr>
              <w:t xml:space="preserve">Monitoring and evaluation plan </w:t>
            </w:r>
            <w:bookmarkEnd w:id="0"/>
          </w:p>
        </w:tc>
        <w:tc>
          <w:tcPr>
            <w:tcW w:w="5928" w:type="dxa"/>
          </w:tcPr>
          <w:p w:rsidR="00540269" w:rsidRDefault="00540269" w:rsidP="00830B89">
            <w:pPr>
              <w:rPr>
                <w:rFonts w:ascii="Times New Roman" w:hAnsi="Times New Roman" w:cs="Times New Roman"/>
                <w:sz w:val="24"/>
                <w:szCs w:val="24"/>
              </w:rPr>
            </w:pPr>
            <w:r w:rsidRPr="00830B89">
              <w:rPr>
                <w:rFonts w:ascii="Times New Roman" w:hAnsi="Times New Roman" w:cs="Times New Roman"/>
                <w:sz w:val="24"/>
                <w:szCs w:val="24"/>
              </w:rPr>
              <w:t xml:space="preserve">The project will be monitored at three levels in the following schedule: </w:t>
            </w:r>
          </w:p>
          <w:p w:rsidR="00856F85" w:rsidRDefault="00856F85" w:rsidP="00830B89">
            <w:pPr>
              <w:rPr>
                <w:rFonts w:ascii="Times New Roman" w:hAnsi="Times New Roman" w:cs="Times New Roman"/>
                <w:sz w:val="24"/>
                <w:szCs w:val="24"/>
              </w:rPr>
            </w:pPr>
          </w:p>
          <w:p w:rsidR="00856F85" w:rsidRPr="003A3260" w:rsidRDefault="003A3260" w:rsidP="003A3260">
            <w:pPr>
              <w:pStyle w:val="ListParagraph"/>
              <w:numPr>
                <w:ilvl w:val="0"/>
                <w:numId w:val="7"/>
              </w:numPr>
              <w:rPr>
                <w:rFonts w:ascii="Times New Roman" w:hAnsi="Times New Roman" w:cs="Times New Roman"/>
                <w:sz w:val="24"/>
                <w:szCs w:val="24"/>
              </w:rPr>
            </w:pPr>
            <w:r w:rsidRPr="003A3260">
              <w:rPr>
                <w:rFonts w:ascii="Times New Roman" w:hAnsi="Times New Roman" w:cs="Times New Roman"/>
                <w:sz w:val="24"/>
                <w:szCs w:val="24"/>
              </w:rPr>
              <w:t>School level</w:t>
            </w:r>
          </w:p>
          <w:p w:rsidR="003A3260" w:rsidRPr="003A3260" w:rsidRDefault="003A3260" w:rsidP="003A3260">
            <w:pPr>
              <w:pStyle w:val="ListParagraph"/>
              <w:numPr>
                <w:ilvl w:val="0"/>
                <w:numId w:val="7"/>
              </w:numPr>
              <w:rPr>
                <w:rFonts w:ascii="Times New Roman" w:hAnsi="Times New Roman" w:cs="Times New Roman"/>
                <w:sz w:val="24"/>
                <w:szCs w:val="24"/>
              </w:rPr>
            </w:pPr>
            <w:r w:rsidRPr="003A3260">
              <w:rPr>
                <w:rFonts w:ascii="Times New Roman" w:hAnsi="Times New Roman" w:cs="Times New Roman"/>
                <w:sz w:val="24"/>
                <w:szCs w:val="24"/>
              </w:rPr>
              <w:t>Community and h</w:t>
            </w:r>
            <w:r w:rsidR="00856F85" w:rsidRPr="003A3260">
              <w:rPr>
                <w:rFonts w:ascii="Times New Roman" w:hAnsi="Times New Roman" w:cs="Times New Roman"/>
                <w:sz w:val="24"/>
                <w:szCs w:val="24"/>
              </w:rPr>
              <w:t xml:space="preserve">ome visit </w:t>
            </w:r>
            <w:r w:rsidRPr="003A3260">
              <w:rPr>
                <w:rFonts w:ascii="Times New Roman" w:hAnsi="Times New Roman" w:cs="Times New Roman"/>
                <w:sz w:val="24"/>
                <w:szCs w:val="24"/>
              </w:rPr>
              <w:t>to the beneficiaries and families.</w:t>
            </w:r>
          </w:p>
          <w:p w:rsidR="00856F85" w:rsidRPr="003A3260" w:rsidRDefault="003A3260" w:rsidP="003A3260">
            <w:pPr>
              <w:pStyle w:val="ListParagraph"/>
              <w:numPr>
                <w:ilvl w:val="0"/>
                <w:numId w:val="7"/>
              </w:numPr>
              <w:rPr>
                <w:rFonts w:ascii="Times New Roman" w:hAnsi="Times New Roman" w:cs="Times New Roman"/>
                <w:sz w:val="24"/>
                <w:szCs w:val="24"/>
              </w:rPr>
            </w:pPr>
            <w:r w:rsidRPr="003A3260">
              <w:rPr>
                <w:rFonts w:ascii="Times New Roman" w:hAnsi="Times New Roman" w:cs="Times New Roman"/>
                <w:sz w:val="24"/>
                <w:szCs w:val="24"/>
              </w:rPr>
              <w:t xml:space="preserve">Quarterly meeting with local project partners- Regional Basic education office and Parents Teachers Association.  </w:t>
            </w:r>
          </w:p>
          <w:p w:rsidR="00540269" w:rsidRPr="00830B89" w:rsidRDefault="00540269" w:rsidP="00830B89">
            <w:pPr>
              <w:rPr>
                <w:rFonts w:ascii="Times New Roman" w:hAnsi="Times New Roman" w:cs="Times New Roman"/>
                <w:sz w:val="24"/>
                <w:szCs w:val="24"/>
              </w:rPr>
            </w:pPr>
            <w:r w:rsidRPr="00830B89">
              <w:rPr>
                <w:rFonts w:ascii="Times New Roman" w:hAnsi="Times New Roman" w:cs="Times New Roman"/>
                <w:sz w:val="24"/>
                <w:szCs w:val="24"/>
              </w:rPr>
              <w:t xml:space="preserve">. </w:t>
            </w:r>
          </w:p>
        </w:tc>
      </w:tr>
      <w:tr w:rsidR="00540269" w:rsidRPr="00830B89" w:rsidTr="000E6577">
        <w:trPr>
          <w:trHeight w:val="233"/>
        </w:trPr>
        <w:tc>
          <w:tcPr>
            <w:tcW w:w="3422" w:type="dxa"/>
            <w:shd w:val="clear" w:color="auto" w:fill="C6D9F1" w:themeFill="text2" w:themeFillTint="33"/>
          </w:tcPr>
          <w:p w:rsidR="00540269" w:rsidRPr="00830B89" w:rsidRDefault="00540269" w:rsidP="00830B89">
            <w:pPr>
              <w:spacing w:before="240"/>
              <w:rPr>
                <w:rFonts w:ascii="Times New Roman" w:hAnsi="Times New Roman" w:cs="Times New Roman"/>
                <w:b/>
                <w:sz w:val="24"/>
                <w:szCs w:val="24"/>
              </w:rPr>
            </w:pPr>
          </w:p>
        </w:tc>
        <w:tc>
          <w:tcPr>
            <w:tcW w:w="5928" w:type="dxa"/>
          </w:tcPr>
          <w:p w:rsidR="00540269" w:rsidRPr="00830B89" w:rsidRDefault="00540269" w:rsidP="00830B89">
            <w:pPr>
              <w:rPr>
                <w:rFonts w:ascii="Times New Roman" w:hAnsi="Times New Roman" w:cs="Times New Roman"/>
                <w:sz w:val="24"/>
                <w:szCs w:val="24"/>
              </w:rPr>
            </w:pPr>
          </w:p>
        </w:tc>
      </w:tr>
    </w:tbl>
    <w:p w:rsidR="00ED4129" w:rsidRDefault="00ED4129" w:rsidP="003A3260">
      <w:pPr>
        <w:spacing w:after="0" w:line="240" w:lineRule="auto"/>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p>
    <w:p w:rsidR="00F63D3D" w:rsidRDefault="00F63D3D" w:rsidP="00830B89">
      <w:pPr>
        <w:spacing w:after="0" w:line="240" w:lineRule="auto"/>
        <w:ind w:left="720"/>
        <w:jc w:val="both"/>
        <w:rPr>
          <w:rFonts w:ascii="Times New Roman" w:hAnsi="Times New Roman" w:cs="Times New Roman"/>
          <w:b/>
          <w:sz w:val="24"/>
          <w:szCs w:val="24"/>
        </w:rPr>
      </w:pPr>
    </w:p>
    <w:p w:rsidR="00F63D3D" w:rsidRDefault="00F63D3D" w:rsidP="00830B89">
      <w:pPr>
        <w:spacing w:after="0" w:line="240" w:lineRule="auto"/>
        <w:ind w:left="720"/>
        <w:jc w:val="both"/>
        <w:rPr>
          <w:rFonts w:ascii="Times New Roman" w:hAnsi="Times New Roman" w:cs="Times New Roman"/>
          <w:b/>
          <w:sz w:val="24"/>
          <w:szCs w:val="24"/>
        </w:rPr>
      </w:pPr>
    </w:p>
    <w:p w:rsidR="00F63D3D" w:rsidRDefault="00F63D3D" w:rsidP="00830B89">
      <w:pPr>
        <w:spacing w:after="0" w:line="240" w:lineRule="auto"/>
        <w:ind w:left="720"/>
        <w:jc w:val="both"/>
        <w:rPr>
          <w:rFonts w:ascii="Times New Roman" w:hAnsi="Times New Roman" w:cs="Times New Roman"/>
          <w:b/>
          <w:sz w:val="24"/>
          <w:szCs w:val="24"/>
        </w:rPr>
      </w:pPr>
    </w:p>
    <w:p w:rsidR="002D3317" w:rsidRDefault="002D3317" w:rsidP="00830B89">
      <w:pPr>
        <w:spacing w:after="0" w:line="240" w:lineRule="auto"/>
        <w:ind w:left="720"/>
        <w:jc w:val="both"/>
        <w:rPr>
          <w:rFonts w:ascii="Times New Roman" w:hAnsi="Times New Roman" w:cs="Times New Roman"/>
          <w:b/>
          <w:sz w:val="24"/>
          <w:szCs w:val="24"/>
        </w:rPr>
      </w:pPr>
      <w:bookmarkStart w:id="1" w:name="_GoBack"/>
      <w:bookmarkEnd w:id="1"/>
    </w:p>
    <w:p w:rsidR="00830B89" w:rsidRDefault="00830B89" w:rsidP="00830B89">
      <w:pPr>
        <w:spacing w:after="0" w:line="240" w:lineRule="auto"/>
        <w:ind w:left="720"/>
        <w:jc w:val="both"/>
        <w:rPr>
          <w:rFonts w:ascii="Times New Roman" w:hAnsi="Times New Roman" w:cs="Times New Roman"/>
          <w:b/>
          <w:sz w:val="24"/>
          <w:szCs w:val="24"/>
        </w:rPr>
      </w:pPr>
      <w:r w:rsidRPr="00830B89">
        <w:rPr>
          <w:rFonts w:ascii="Times New Roman" w:hAnsi="Times New Roman" w:cs="Times New Roman"/>
          <w:b/>
          <w:sz w:val="24"/>
          <w:szCs w:val="24"/>
        </w:rPr>
        <w:t>PROJECT BUDGET</w:t>
      </w:r>
    </w:p>
    <w:p w:rsidR="003A3260" w:rsidRDefault="003A3260" w:rsidP="00830B89">
      <w:pPr>
        <w:spacing w:after="0" w:line="240" w:lineRule="auto"/>
        <w:ind w:left="720"/>
        <w:jc w:val="bot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2515"/>
        <w:gridCol w:w="1864"/>
        <w:gridCol w:w="2123"/>
        <w:gridCol w:w="2128"/>
      </w:tblGrid>
      <w:tr w:rsidR="00567E60" w:rsidTr="00F63D3D">
        <w:tc>
          <w:tcPr>
            <w:tcW w:w="2515" w:type="dxa"/>
          </w:tcPr>
          <w:p w:rsidR="003A3260" w:rsidRDefault="003A3260" w:rsidP="00830B89">
            <w:pPr>
              <w:jc w:val="both"/>
              <w:rPr>
                <w:rFonts w:ascii="Times New Roman" w:hAnsi="Times New Roman" w:cs="Times New Roman"/>
                <w:b/>
                <w:sz w:val="24"/>
                <w:szCs w:val="24"/>
              </w:rPr>
            </w:pPr>
            <w:r>
              <w:rPr>
                <w:rFonts w:ascii="Times New Roman" w:hAnsi="Times New Roman" w:cs="Times New Roman"/>
                <w:b/>
                <w:sz w:val="24"/>
                <w:szCs w:val="24"/>
              </w:rPr>
              <w:t>Description</w:t>
            </w:r>
          </w:p>
        </w:tc>
        <w:tc>
          <w:tcPr>
            <w:tcW w:w="1864" w:type="dxa"/>
          </w:tcPr>
          <w:p w:rsidR="003A3260" w:rsidRDefault="003A3260" w:rsidP="00830B89">
            <w:pPr>
              <w:jc w:val="both"/>
              <w:rPr>
                <w:rFonts w:ascii="Times New Roman" w:hAnsi="Times New Roman" w:cs="Times New Roman"/>
                <w:b/>
                <w:sz w:val="24"/>
                <w:szCs w:val="24"/>
              </w:rPr>
            </w:pPr>
            <w:r>
              <w:rPr>
                <w:rFonts w:ascii="Times New Roman" w:hAnsi="Times New Roman" w:cs="Times New Roman"/>
                <w:b/>
                <w:sz w:val="24"/>
                <w:szCs w:val="24"/>
              </w:rPr>
              <w:t>Quantity</w:t>
            </w:r>
          </w:p>
        </w:tc>
        <w:tc>
          <w:tcPr>
            <w:tcW w:w="2123" w:type="dxa"/>
          </w:tcPr>
          <w:p w:rsidR="003A3260" w:rsidRDefault="003A3260" w:rsidP="00830B89">
            <w:pPr>
              <w:jc w:val="both"/>
              <w:rPr>
                <w:rFonts w:ascii="Times New Roman" w:hAnsi="Times New Roman" w:cs="Times New Roman"/>
                <w:b/>
                <w:sz w:val="24"/>
                <w:szCs w:val="24"/>
              </w:rPr>
            </w:pPr>
            <w:r>
              <w:rPr>
                <w:rFonts w:ascii="Times New Roman" w:hAnsi="Times New Roman" w:cs="Times New Roman"/>
                <w:b/>
                <w:sz w:val="24"/>
                <w:szCs w:val="24"/>
              </w:rPr>
              <w:t xml:space="preserve">Unit Price </w:t>
            </w:r>
            <w:r w:rsidR="009B65A3">
              <w:rPr>
                <w:rFonts w:ascii="Times New Roman" w:hAnsi="Times New Roman" w:cs="Times New Roman"/>
                <w:b/>
                <w:sz w:val="24"/>
                <w:szCs w:val="24"/>
              </w:rPr>
              <w:t>Dollars</w:t>
            </w:r>
          </w:p>
        </w:tc>
        <w:tc>
          <w:tcPr>
            <w:tcW w:w="2128" w:type="dxa"/>
          </w:tcPr>
          <w:p w:rsidR="003A3260" w:rsidRDefault="003A3260" w:rsidP="00830B89">
            <w:pPr>
              <w:jc w:val="both"/>
              <w:rPr>
                <w:rFonts w:ascii="Times New Roman" w:hAnsi="Times New Roman" w:cs="Times New Roman"/>
                <w:b/>
                <w:sz w:val="24"/>
                <w:szCs w:val="24"/>
              </w:rPr>
            </w:pPr>
            <w:r>
              <w:rPr>
                <w:rFonts w:ascii="Times New Roman" w:hAnsi="Times New Roman" w:cs="Times New Roman"/>
                <w:b/>
                <w:sz w:val="24"/>
                <w:szCs w:val="24"/>
              </w:rPr>
              <w:t>Total</w:t>
            </w:r>
            <w:r w:rsidR="009B65A3">
              <w:rPr>
                <w:rFonts w:ascii="Times New Roman" w:hAnsi="Times New Roman" w:cs="Times New Roman"/>
                <w:b/>
                <w:sz w:val="24"/>
                <w:szCs w:val="24"/>
              </w:rPr>
              <w:t xml:space="preserve"> in dollars</w:t>
            </w:r>
          </w:p>
        </w:tc>
      </w:tr>
      <w:tr w:rsidR="00567E60" w:rsidTr="00F63D3D">
        <w:tc>
          <w:tcPr>
            <w:tcW w:w="2515" w:type="dxa"/>
          </w:tcPr>
          <w:p w:rsidR="003A3260" w:rsidRPr="008953C1" w:rsidRDefault="003A3260" w:rsidP="003A3260">
            <w:pPr>
              <w:jc w:val="both"/>
              <w:rPr>
                <w:rFonts w:ascii="Times New Roman" w:hAnsi="Times New Roman" w:cs="Times New Roman"/>
                <w:sz w:val="24"/>
                <w:szCs w:val="24"/>
              </w:rPr>
            </w:pPr>
            <w:r w:rsidRPr="008953C1">
              <w:rPr>
                <w:rFonts w:ascii="Times New Roman" w:hAnsi="Times New Roman" w:cs="Times New Roman"/>
                <w:sz w:val="24"/>
                <w:szCs w:val="24"/>
              </w:rPr>
              <w:t>Excise Books</w:t>
            </w:r>
          </w:p>
        </w:tc>
        <w:tc>
          <w:tcPr>
            <w:tcW w:w="1864" w:type="dxa"/>
          </w:tcPr>
          <w:p w:rsidR="003A3260" w:rsidRPr="008953C1" w:rsidRDefault="00567E60" w:rsidP="00830B89">
            <w:pPr>
              <w:jc w:val="both"/>
              <w:rPr>
                <w:rFonts w:ascii="Times New Roman" w:hAnsi="Times New Roman" w:cs="Times New Roman"/>
                <w:sz w:val="24"/>
                <w:szCs w:val="24"/>
              </w:rPr>
            </w:pPr>
            <w:r>
              <w:rPr>
                <w:rFonts w:ascii="Times New Roman" w:hAnsi="Times New Roman" w:cs="Times New Roman"/>
                <w:sz w:val="24"/>
                <w:szCs w:val="24"/>
              </w:rPr>
              <w:t>100 pac</w:t>
            </w:r>
            <w:r w:rsidR="008953C1">
              <w:rPr>
                <w:rFonts w:ascii="Times New Roman" w:hAnsi="Times New Roman" w:cs="Times New Roman"/>
                <w:sz w:val="24"/>
                <w:szCs w:val="24"/>
              </w:rPr>
              <w:t>kets</w:t>
            </w:r>
          </w:p>
        </w:tc>
        <w:tc>
          <w:tcPr>
            <w:tcW w:w="2123" w:type="dxa"/>
          </w:tcPr>
          <w:p w:rsidR="003A3260" w:rsidRPr="008953C1" w:rsidRDefault="009B65A3" w:rsidP="00F465DB">
            <w:pPr>
              <w:jc w:val="right"/>
              <w:rPr>
                <w:rFonts w:ascii="Times New Roman" w:hAnsi="Times New Roman" w:cs="Times New Roman"/>
                <w:sz w:val="24"/>
                <w:szCs w:val="24"/>
              </w:rPr>
            </w:pPr>
            <w:r>
              <w:rPr>
                <w:rFonts w:ascii="Times New Roman" w:hAnsi="Times New Roman" w:cs="Times New Roman"/>
                <w:sz w:val="24"/>
                <w:szCs w:val="24"/>
              </w:rPr>
              <w:t>5</w:t>
            </w:r>
          </w:p>
        </w:tc>
        <w:tc>
          <w:tcPr>
            <w:tcW w:w="2128" w:type="dxa"/>
          </w:tcPr>
          <w:p w:rsidR="003A3260" w:rsidRPr="008953C1" w:rsidRDefault="009B65A3" w:rsidP="00F465DB">
            <w:pPr>
              <w:jc w:val="right"/>
              <w:rPr>
                <w:rFonts w:ascii="Times New Roman" w:hAnsi="Times New Roman" w:cs="Times New Roman"/>
                <w:sz w:val="24"/>
                <w:szCs w:val="24"/>
              </w:rPr>
            </w:pPr>
            <w:r>
              <w:rPr>
                <w:rFonts w:ascii="Times New Roman" w:hAnsi="Times New Roman" w:cs="Times New Roman"/>
                <w:sz w:val="24"/>
                <w:szCs w:val="24"/>
              </w:rPr>
              <w:t>500</w:t>
            </w:r>
          </w:p>
        </w:tc>
      </w:tr>
      <w:tr w:rsidR="00567E60" w:rsidTr="00F63D3D">
        <w:trPr>
          <w:trHeight w:val="323"/>
        </w:trPr>
        <w:tc>
          <w:tcPr>
            <w:tcW w:w="2515" w:type="dxa"/>
          </w:tcPr>
          <w:p w:rsidR="00F63D3D" w:rsidRPr="008953C1" w:rsidRDefault="003A3260" w:rsidP="008953C1">
            <w:pPr>
              <w:jc w:val="both"/>
              <w:rPr>
                <w:rFonts w:ascii="Times New Roman" w:hAnsi="Times New Roman" w:cs="Times New Roman"/>
                <w:sz w:val="24"/>
                <w:szCs w:val="24"/>
              </w:rPr>
            </w:pPr>
            <w:r w:rsidRPr="008953C1">
              <w:rPr>
                <w:rFonts w:ascii="Times New Roman" w:hAnsi="Times New Roman" w:cs="Times New Roman"/>
                <w:sz w:val="24"/>
                <w:szCs w:val="24"/>
              </w:rPr>
              <w:t xml:space="preserve"> </w:t>
            </w:r>
            <w:r w:rsidR="00567E60">
              <w:rPr>
                <w:rFonts w:ascii="Times New Roman" w:hAnsi="Times New Roman" w:cs="Times New Roman"/>
                <w:sz w:val="24"/>
                <w:szCs w:val="24"/>
              </w:rPr>
              <w:t>Mathematics textbook</w:t>
            </w:r>
          </w:p>
        </w:tc>
        <w:tc>
          <w:tcPr>
            <w:tcW w:w="1864" w:type="dxa"/>
          </w:tcPr>
          <w:p w:rsidR="00854487" w:rsidRPr="008953C1" w:rsidRDefault="00567E60" w:rsidP="00830B89">
            <w:pPr>
              <w:jc w:val="both"/>
              <w:rPr>
                <w:rFonts w:ascii="Times New Roman" w:hAnsi="Times New Roman" w:cs="Times New Roman"/>
                <w:sz w:val="24"/>
                <w:szCs w:val="24"/>
              </w:rPr>
            </w:pPr>
            <w:r>
              <w:rPr>
                <w:rFonts w:ascii="Times New Roman" w:hAnsi="Times New Roman" w:cs="Times New Roman"/>
                <w:sz w:val="24"/>
                <w:szCs w:val="24"/>
              </w:rPr>
              <w:t>100</w:t>
            </w:r>
          </w:p>
        </w:tc>
        <w:tc>
          <w:tcPr>
            <w:tcW w:w="2123" w:type="dxa"/>
          </w:tcPr>
          <w:p w:rsidR="003A3260" w:rsidRPr="008953C1" w:rsidRDefault="009B65A3" w:rsidP="00F465DB">
            <w:pPr>
              <w:jc w:val="right"/>
              <w:rPr>
                <w:rFonts w:ascii="Times New Roman" w:hAnsi="Times New Roman" w:cs="Times New Roman"/>
                <w:sz w:val="24"/>
                <w:szCs w:val="24"/>
              </w:rPr>
            </w:pPr>
            <w:r>
              <w:rPr>
                <w:rFonts w:ascii="Times New Roman" w:hAnsi="Times New Roman" w:cs="Times New Roman"/>
                <w:sz w:val="24"/>
                <w:szCs w:val="24"/>
              </w:rPr>
              <w:t>6</w:t>
            </w:r>
          </w:p>
        </w:tc>
        <w:tc>
          <w:tcPr>
            <w:tcW w:w="2128" w:type="dxa"/>
          </w:tcPr>
          <w:p w:rsidR="0052285C" w:rsidRPr="008953C1" w:rsidRDefault="009B65A3" w:rsidP="00F465DB">
            <w:pPr>
              <w:jc w:val="right"/>
              <w:rPr>
                <w:rFonts w:ascii="Times New Roman" w:hAnsi="Times New Roman" w:cs="Times New Roman"/>
                <w:sz w:val="24"/>
                <w:szCs w:val="24"/>
              </w:rPr>
            </w:pPr>
            <w:r>
              <w:rPr>
                <w:rFonts w:ascii="Times New Roman" w:hAnsi="Times New Roman" w:cs="Times New Roman"/>
                <w:sz w:val="24"/>
                <w:szCs w:val="24"/>
              </w:rPr>
              <w:t>600</w:t>
            </w:r>
          </w:p>
        </w:tc>
      </w:tr>
      <w:tr w:rsidR="00342071" w:rsidTr="00F63D3D">
        <w:tc>
          <w:tcPr>
            <w:tcW w:w="2515" w:type="dxa"/>
          </w:tcPr>
          <w:p w:rsidR="00567E60" w:rsidRPr="008953C1" w:rsidRDefault="00567E60" w:rsidP="008953C1">
            <w:pPr>
              <w:jc w:val="both"/>
              <w:rPr>
                <w:rFonts w:ascii="Times New Roman" w:hAnsi="Times New Roman" w:cs="Times New Roman"/>
                <w:sz w:val="24"/>
                <w:szCs w:val="24"/>
              </w:rPr>
            </w:pPr>
            <w:r>
              <w:rPr>
                <w:rFonts w:ascii="Times New Roman" w:hAnsi="Times New Roman" w:cs="Times New Roman"/>
                <w:sz w:val="24"/>
                <w:szCs w:val="24"/>
              </w:rPr>
              <w:t>English</w:t>
            </w:r>
          </w:p>
        </w:tc>
        <w:tc>
          <w:tcPr>
            <w:tcW w:w="1864" w:type="dxa"/>
          </w:tcPr>
          <w:p w:rsidR="00567E60" w:rsidRDefault="00567E60" w:rsidP="00830B89">
            <w:pPr>
              <w:jc w:val="both"/>
              <w:rPr>
                <w:rFonts w:ascii="Times New Roman" w:hAnsi="Times New Roman" w:cs="Times New Roman"/>
                <w:sz w:val="24"/>
                <w:szCs w:val="24"/>
              </w:rPr>
            </w:pPr>
            <w:r>
              <w:rPr>
                <w:rFonts w:ascii="Times New Roman" w:hAnsi="Times New Roman" w:cs="Times New Roman"/>
                <w:sz w:val="24"/>
                <w:szCs w:val="24"/>
              </w:rPr>
              <w:t>100</w:t>
            </w:r>
          </w:p>
        </w:tc>
        <w:tc>
          <w:tcPr>
            <w:tcW w:w="2123" w:type="dxa"/>
          </w:tcPr>
          <w:p w:rsidR="00567E60" w:rsidRPr="008953C1" w:rsidRDefault="009B65A3" w:rsidP="00F465DB">
            <w:pPr>
              <w:jc w:val="right"/>
              <w:rPr>
                <w:rFonts w:ascii="Times New Roman" w:hAnsi="Times New Roman" w:cs="Times New Roman"/>
                <w:sz w:val="24"/>
                <w:szCs w:val="24"/>
              </w:rPr>
            </w:pPr>
            <w:r>
              <w:rPr>
                <w:rFonts w:ascii="Times New Roman" w:hAnsi="Times New Roman" w:cs="Times New Roman"/>
                <w:sz w:val="24"/>
                <w:szCs w:val="24"/>
              </w:rPr>
              <w:t>4.5</w:t>
            </w:r>
          </w:p>
        </w:tc>
        <w:tc>
          <w:tcPr>
            <w:tcW w:w="2128" w:type="dxa"/>
          </w:tcPr>
          <w:p w:rsidR="00567E60" w:rsidRPr="008953C1" w:rsidRDefault="00767E10" w:rsidP="00F465DB">
            <w:pPr>
              <w:jc w:val="right"/>
              <w:rPr>
                <w:rFonts w:ascii="Times New Roman" w:hAnsi="Times New Roman" w:cs="Times New Roman"/>
                <w:sz w:val="24"/>
                <w:szCs w:val="24"/>
              </w:rPr>
            </w:pPr>
            <w:r>
              <w:rPr>
                <w:rFonts w:ascii="Times New Roman" w:hAnsi="Times New Roman" w:cs="Times New Roman"/>
                <w:sz w:val="24"/>
                <w:szCs w:val="24"/>
              </w:rPr>
              <w:t xml:space="preserve">                         </w:t>
            </w:r>
            <w:r w:rsidR="009B65A3">
              <w:rPr>
                <w:rFonts w:ascii="Times New Roman" w:hAnsi="Times New Roman" w:cs="Times New Roman"/>
                <w:sz w:val="24"/>
                <w:szCs w:val="24"/>
              </w:rPr>
              <w:t>450</w:t>
            </w:r>
          </w:p>
        </w:tc>
      </w:tr>
      <w:tr w:rsidR="00342071" w:rsidTr="00F63D3D">
        <w:tc>
          <w:tcPr>
            <w:tcW w:w="2515" w:type="dxa"/>
          </w:tcPr>
          <w:p w:rsidR="00567E60" w:rsidRDefault="00567E60" w:rsidP="008953C1">
            <w:pPr>
              <w:jc w:val="both"/>
              <w:rPr>
                <w:rFonts w:ascii="Times New Roman" w:hAnsi="Times New Roman" w:cs="Times New Roman"/>
                <w:sz w:val="24"/>
                <w:szCs w:val="24"/>
              </w:rPr>
            </w:pPr>
            <w:r>
              <w:rPr>
                <w:rFonts w:ascii="Times New Roman" w:hAnsi="Times New Roman" w:cs="Times New Roman"/>
                <w:sz w:val="24"/>
                <w:szCs w:val="24"/>
              </w:rPr>
              <w:t>Science</w:t>
            </w:r>
          </w:p>
        </w:tc>
        <w:tc>
          <w:tcPr>
            <w:tcW w:w="1864" w:type="dxa"/>
          </w:tcPr>
          <w:p w:rsidR="00567E60" w:rsidRDefault="00567E60" w:rsidP="00830B89">
            <w:pPr>
              <w:jc w:val="both"/>
              <w:rPr>
                <w:rFonts w:ascii="Times New Roman" w:hAnsi="Times New Roman" w:cs="Times New Roman"/>
                <w:sz w:val="24"/>
                <w:szCs w:val="24"/>
              </w:rPr>
            </w:pPr>
            <w:r>
              <w:rPr>
                <w:rFonts w:ascii="Times New Roman" w:hAnsi="Times New Roman" w:cs="Times New Roman"/>
                <w:sz w:val="24"/>
                <w:szCs w:val="24"/>
              </w:rPr>
              <w:t>100</w:t>
            </w:r>
          </w:p>
        </w:tc>
        <w:tc>
          <w:tcPr>
            <w:tcW w:w="2123" w:type="dxa"/>
          </w:tcPr>
          <w:p w:rsidR="00567E60" w:rsidRPr="008953C1" w:rsidRDefault="004B3851" w:rsidP="00F465DB">
            <w:pPr>
              <w:jc w:val="right"/>
              <w:rPr>
                <w:rFonts w:ascii="Times New Roman" w:hAnsi="Times New Roman" w:cs="Times New Roman"/>
                <w:sz w:val="24"/>
                <w:szCs w:val="24"/>
              </w:rPr>
            </w:pPr>
            <w:r>
              <w:rPr>
                <w:rFonts w:ascii="Times New Roman" w:hAnsi="Times New Roman" w:cs="Times New Roman"/>
                <w:sz w:val="24"/>
                <w:szCs w:val="24"/>
              </w:rPr>
              <w:t>5.2</w:t>
            </w:r>
          </w:p>
        </w:tc>
        <w:tc>
          <w:tcPr>
            <w:tcW w:w="2128" w:type="dxa"/>
          </w:tcPr>
          <w:p w:rsidR="00567E60" w:rsidRPr="008953C1" w:rsidRDefault="004B3851" w:rsidP="00F465DB">
            <w:pPr>
              <w:jc w:val="right"/>
              <w:rPr>
                <w:rFonts w:ascii="Times New Roman" w:hAnsi="Times New Roman" w:cs="Times New Roman"/>
                <w:sz w:val="24"/>
                <w:szCs w:val="24"/>
              </w:rPr>
            </w:pPr>
            <w:r>
              <w:rPr>
                <w:rFonts w:ascii="Times New Roman" w:hAnsi="Times New Roman" w:cs="Times New Roman"/>
                <w:sz w:val="24"/>
                <w:szCs w:val="24"/>
              </w:rPr>
              <w:t>520</w:t>
            </w:r>
          </w:p>
        </w:tc>
      </w:tr>
      <w:tr w:rsidR="00F63D3D" w:rsidTr="00F63D3D">
        <w:tc>
          <w:tcPr>
            <w:tcW w:w="2515" w:type="dxa"/>
          </w:tcPr>
          <w:p w:rsidR="00F63D3D" w:rsidRDefault="00F63D3D" w:rsidP="008953C1">
            <w:pPr>
              <w:jc w:val="both"/>
              <w:rPr>
                <w:rFonts w:ascii="Times New Roman" w:hAnsi="Times New Roman" w:cs="Times New Roman"/>
                <w:sz w:val="24"/>
                <w:szCs w:val="24"/>
              </w:rPr>
            </w:pPr>
            <w:r w:rsidRPr="008953C1">
              <w:rPr>
                <w:rFonts w:ascii="Times New Roman" w:hAnsi="Times New Roman" w:cs="Times New Roman"/>
                <w:sz w:val="24"/>
                <w:szCs w:val="24"/>
              </w:rPr>
              <w:t>pencils</w:t>
            </w:r>
          </w:p>
        </w:tc>
        <w:tc>
          <w:tcPr>
            <w:tcW w:w="1864" w:type="dxa"/>
          </w:tcPr>
          <w:p w:rsidR="00F63D3D" w:rsidRDefault="00F63D3D" w:rsidP="00830B89">
            <w:pPr>
              <w:jc w:val="both"/>
              <w:rPr>
                <w:rFonts w:ascii="Times New Roman" w:hAnsi="Times New Roman" w:cs="Times New Roman"/>
                <w:sz w:val="24"/>
                <w:szCs w:val="24"/>
              </w:rPr>
            </w:pPr>
            <w:r>
              <w:rPr>
                <w:rFonts w:ascii="Times New Roman" w:hAnsi="Times New Roman" w:cs="Times New Roman"/>
                <w:sz w:val="24"/>
                <w:szCs w:val="24"/>
              </w:rPr>
              <w:t>100 packets</w:t>
            </w:r>
          </w:p>
        </w:tc>
        <w:tc>
          <w:tcPr>
            <w:tcW w:w="2123" w:type="dxa"/>
          </w:tcPr>
          <w:p w:rsidR="00F63D3D" w:rsidRPr="008953C1" w:rsidRDefault="00F63D3D" w:rsidP="00F465DB">
            <w:pPr>
              <w:jc w:val="right"/>
              <w:rPr>
                <w:rFonts w:ascii="Times New Roman" w:hAnsi="Times New Roman" w:cs="Times New Roman"/>
                <w:sz w:val="24"/>
                <w:szCs w:val="24"/>
              </w:rPr>
            </w:pPr>
            <w:r>
              <w:rPr>
                <w:rFonts w:ascii="Times New Roman" w:hAnsi="Times New Roman" w:cs="Times New Roman"/>
                <w:sz w:val="24"/>
                <w:szCs w:val="24"/>
              </w:rPr>
              <w:t>0.5</w:t>
            </w:r>
          </w:p>
        </w:tc>
        <w:tc>
          <w:tcPr>
            <w:tcW w:w="2128" w:type="dxa"/>
          </w:tcPr>
          <w:p w:rsidR="00F63D3D" w:rsidRPr="008953C1" w:rsidRDefault="00F63D3D" w:rsidP="00F465DB">
            <w:pPr>
              <w:jc w:val="right"/>
              <w:rPr>
                <w:rFonts w:ascii="Times New Roman" w:hAnsi="Times New Roman" w:cs="Times New Roman"/>
                <w:sz w:val="24"/>
                <w:szCs w:val="24"/>
              </w:rPr>
            </w:pPr>
            <w:r>
              <w:rPr>
                <w:rFonts w:ascii="Times New Roman" w:hAnsi="Times New Roman" w:cs="Times New Roman"/>
                <w:sz w:val="24"/>
                <w:szCs w:val="24"/>
              </w:rPr>
              <w:t>50</w:t>
            </w:r>
          </w:p>
        </w:tc>
      </w:tr>
      <w:tr w:rsidR="00F63D3D" w:rsidTr="00F63D3D">
        <w:tc>
          <w:tcPr>
            <w:tcW w:w="2515" w:type="dxa"/>
          </w:tcPr>
          <w:p w:rsidR="00F63D3D" w:rsidRPr="008953C1" w:rsidRDefault="00F63D3D" w:rsidP="008953C1">
            <w:pPr>
              <w:jc w:val="both"/>
              <w:rPr>
                <w:rFonts w:ascii="Times New Roman" w:hAnsi="Times New Roman" w:cs="Times New Roman"/>
                <w:sz w:val="24"/>
                <w:szCs w:val="24"/>
              </w:rPr>
            </w:pPr>
            <w:r w:rsidRPr="008953C1">
              <w:rPr>
                <w:rFonts w:ascii="Times New Roman" w:hAnsi="Times New Roman" w:cs="Times New Roman"/>
                <w:sz w:val="24"/>
                <w:szCs w:val="24"/>
              </w:rPr>
              <w:t>Uniform</w:t>
            </w:r>
          </w:p>
        </w:tc>
        <w:tc>
          <w:tcPr>
            <w:tcW w:w="1864" w:type="dxa"/>
          </w:tcPr>
          <w:p w:rsidR="00F63D3D" w:rsidRPr="008953C1" w:rsidRDefault="00F63D3D" w:rsidP="00830B89">
            <w:pPr>
              <w:jc w:val="both"/>
              <w:rPr>
                <w:rFonts w:ascii="Times New Roman" w:hAnsi="Times New Roman" w:cs="Times New Roman"/>
                <w:sz w:val="24"/>
                <w:szCs w:val="24"/>
              </w:rPr>
            </w:pPr>
            <w:r>
              <w:rPr>
                <w:rFonts w:ascii="Times New Roman" w:hAnsi="Times New Roman" w:cs="Times New Roman"/>
                <w:sz w:val="24"/>
                <w:szCs w:val="24"/>
              </w:rPr>
              <w:t xml:space="preserve">200 Pairs </w:t>
            </w:r>
          </w:p>
        </w:tc>
        <w:tc>
          <w:tcPr>
            <w:tcW w:w="2123" w:type="dxa"/>
          </w:tcPr>
          <w:p w:rsidR="00F63D3D" w:rsidRPr="008953C1" w:rsidRDefault="00F63D3D" w:rsidP="00F465DB">
            <w:pPr>
              <w:jc w:val="right"/>
              <w:rPr>
                <w:rFonts w:ascii="Times New Roman" w:hAnsi="Times New Roman" w:cs="Times New Roman"/>
                <w:sz w:val="24"/>
                <w:szCs w:val="24"/>
              </w:rPr>
            </w:pPr>
            <w:r>
              <w:rPr>
                <w:rFonts w:ascii="Times New Roman" w:hAnsi="Times New Roman" w:cs="Times New Roman"/>
                <w:sz w:val="24"/>
                <w:szCs w:val="24"/>
              </w:rPr>
              <w:t>10</w:t>
            </w:r>
          </w:p>
        </w:tc>
        <w:tc>
          <w:tcPr>
            <w:tcW w:w="2128" w:type="dxa"/>
          </w:tcPr>
          <w:p w:rsidR="00F63D3D" w:rsidRPr="008953C1" w:rsidRDefault="00F63D3D" w:rsidP="00F465DB">
            <w:pPr>
              <w:jc w:val="right"/>
              <w:rPr>
                <w:rFonts w:ascii="Times New Roman" w:hAnsi="Times New Roman" w:cs="Times New Roman"/>
                <w:sz w:val="24"/>
                <w:szCs w:val="24"/>
              </w:rPr>
            </w:pPr>
            <w:r>
              <w:rPr>
                <w:rFonts w:ascii="Times New Roman" w:hAnsi="Times New Roman" w:cs="Times New Roman"/>
                <w:sz w:val="24"/>
                <w:szCs w:val="24"/>
              </w:rPr>
              <w:t>2000</w:t>
            </w:r>
          </w:p>
        </w:tc>
      </w:tr>
      <w:tr w:rsidR="00F63D3D" w:rsidTr="00F63D3D">
        <w:tc>
          <w:tcPr>
            <w:tcW w:w="2515" w:type="dxa"/>
          </w:tcPr>
          <w:p w:rsidR="00F63D3D" w:rsidRPr="008953C1" w:rsidRDefault="00F63D3D" w:rsidP="008953C1">
            <w:pPr>
              <w:jc w:val="both"/>
              <w:rPr>
                <w:rFonts w:ascii="Times New Roman" w:hAnsi="Times New Roman" w:cs="Times New Roman"/>
                <w:sz w:val="24"/>
                <w:szCs w:val="24"/>
              </w:rPr>
            </w:pPr>
            <w:r w:rsidRPr="008953C1">
              <w:rPr>
                <w:rFonts w:ascii="Times New Roman" w:hAnsi="Times New Roman" w:cs="Times New Roman"/>
                <w:sz w:val="24"/>
                <w:szCs w:val="24"/>
              </w:rPr>
              <w:t>School bags</w:t>
            </w:r>
          </w:p>
        </w:tc>
        <w:tc>
          <w:tcPr>
            <w:tcW w:w="1864" w:type="dxa"/>
          </w:tcPr>
          <w:p w:rsidR="00F63D3D" w:rsidRPr="008953C1" w:rsidRDefault="00F63D3D" w:rsidP="00830B89">
            <w:pPr>
              <w:jc w:val="both"/>
              <w:rPr>
                <w:rFonts w:ascii="Times New Roman" w:hAnsi="Times New Roman" w:cs="Times New Roman"/>
                <w:sz w:val="24"/>
                <w:szCs w:val="24"/>
              </w:rPr>
            </w:pPr>
            <w:r>
              <w:rPr>
                <w:rFonts w:ascii="Times New Roman" w:hAnsi="Times New Roman" w:cs="Times New Roman"/>
                <w:sz w:val="24"/>
                <w:szCs w:val="24"/>
              </w:rPr>
              <w:t>100</w:t>
            </w:r>
          </w:p>
        </w:tc>
        <w:tc>
          <w:tcPr>
            <w:tcW w:w="2123" w:type="dxa"/>
          </w:tcPr>
          <w:p w:rsidR="00F63D3D" w:rsidRPr="008953C1" w:rsidRDefault="00F63D3D" w:rsidP="00F465DB">
            <w:pPr>
              <w:jc w:val="right"/>
              <w:rPr>
                <w:rFonts w:ascii="Times New Roman" w:hAnsi="Times New Roman" w:cs="Times New Roman"/>
                <w:sz w:val="24"/>
                <w:szCs w:val="24"/>
              </w:rPr>
            </w:pPr>
            <w:r>
              <w:rPr>
                <w:rFonts w:ascii="Times New Roman" w:hAnsi="Times New Roman" w:cs="Times New Roman"/>
                <w:sz w:val="24"/>
                <w:szCs w:val="24"/>
              </w:rPr>
              <w:t>10</w:t>
            </w:r>
          </w:p>
        </w:tc>
        <w:tc>
          <w:tcPr>
            <w:tcW w:w="2128" w:type="dxa"/>
          </w:tcPr>
          <w:p w:rsidR="00F63D3D" w:rsidRPr="008953C1" w:rsidRDefault="00F63D3D" w:rsidP="00F465DB">
            <w:pPr>
              <w:jc w:val="right"/>
              <w:rPr>
                <w:rFonts w:ascii="Times New Roman" w:hAnsi="Times New Roman" w:cs="Times New Roman"/>
                <w:sz w:val="24"/>
                <w:szCs w:val="24"/>
              </w:rPr>
            </w:pPr>
            <w:r>
              <w:rPr>
                <w:rFonts w:ascii="Times New Roman" w:hAnsi="Times New Roman" w:cs="Times New Roman"/>
                <w:sz w:val="24"/>
                <w:szCs w:val="24"/>
              </w:rPr>
              <w:t>1000</w:t>
            </w:r>
          </w:p>
        </w:tc>
      </w:tr>
      <w:tr w:rsidR="00F63D3D" w:rsidTr="00F63D3D">
        <w:tc>
          <w:tcPr>
            <w:tcW w:w="2515" w:type="dxa"/>
          </w:tcPr>
          <w:p w:rsidR="00F63D3D" w:rsidRPr="008953C1" w:rsidRDefault="00F63D3D" w:rsidP="008953C1">
            <w:pPr>
              <w:jc w:val="both"/>
              <w:rPr>
                <w:rFonts w:ascii="Times New Roman" w:hAnsi="Times New Roman" w:cs="Times New Roman"/>
                <w:sz w:val="24"/>
                <w:szCs w:val="24"/>
              </w:rPr>
            </w:pPr>
            <w:r>
              <w:rPr>
                <w:rFonts w:ascii="Times New Roman" w:hAnsi="Times New Roman" w:cs="Times New Roman"/>
                <w:sz w:val="24"/>
                <w:szCs w:val="24"/>
              </w:rPr>
              <w:t>S</w:t>
            </w:r>
            <w:r w:rsidRPr="008953C1">
              <w:rPr>
                <w:rFonts w:ascii="Times New Roman" w:hAnsi="Times New Roman" w:cs="Times New Roman"/>
                <w:sz w:val="24"/>
                <w:szCs w:val="24"/>
              </w:rPr>
              <w:t>chool shoe</w:t>
            </w:r>
          </w:p>
        </w:tc>
        <w:tc>
          <w:tcPr>
            <w:tcW w:w="1864" w:type="dxa"/>
          </w:tcPr>
          <w:p w:rsidR="00F63D3D" w:rsidRPr="008953C1" w:rsidRDefault="00F63D3D" w:rsidP="00830B89">
            <w:pPr>
              <w:jc w:val="both"/>
              <w:rPr>
                <w:rFonts w:ascii="Times New Roman" w:hAnsi="Times New Roman" w:cs="Times New Roman"/>
                <w:sz w:val="24"/>
                <w:szCs w:val="24"/>
              </w:rPr>
            </w:pPr>
            <w:r>
              <w:rPr>
                <w:rFonts w:ascii="Times New Roman" w:hAnsi="Times New Roman" w:cs="Times New Roman"/>
                <w:sz w:val="24"/>
                <w:szCs w:val="24"/>
              </w:rPr>
              <w:t>100</w:t>
            </w:r>
          </w:p>
        </w:tc>
        <w:tc>
          <w:tcPr>
            <w:tcW w:w="2123" w:type="dxa"/>
          </w:tcPr>
          <w:p w:rsidR="00F63D3D" w:rsidRPr="008953C1" w:rsidRDefault="00F63D3D" w:rsidP="00F465DB">
            <w:pPr>
              <w:jc w:val="right"/>
              <w:rPr>
                <w:rFonts w:ascii="Times New Roman" w:hAnsi="Times New Roman" w:cs="Times New Roman"/>
                <w:sz w:val="24"/>
                <w:szCs w:val="24"/>
              </w:rPr>
            </w:pPr>
            <w:r>
              <w:rPr>
                <w:rFonts w:ascii="Times New Roman" w:hAnsi="Times New Roman" w:cs="Times New Roman"/>
                <w:sz w:val="24"/>
                <w:szCs w:val="24"/>
              </w:rPr>
              <w:t>7</w:t>
            </w:r>
          </w:p>
        </w:tc>
        <w:tc>
          <w:tcPr>
            <w:tcW w:w="2128" w:type="dxa"/>
          </w:tcPr>
          <w:p w:rsidR="00F63D3D" w:rsidRPr="008953C1" w:rsidRDefault="00F63D3D" w:rsidP="00F465DB">
            <w:pPr>
              <w:jc w:val="right"/>
              <w:rPr>
                <w:rFonts w:ascii="Times New Roman" w:hAnsi="Times New Roman" w:cs="Times New Roman"/>
                <w:sz w:val="24"/>
                <w:szCs w:val="24"/>
              </w:rPr>
            </w:pPr>
            <w:r>
              <w:rPr>
                <w:rFonts w:ascii="Times New Roman" w:hAnsi="Times New Roman" w:cs="Times New Roman"/>
                <w:sz w:val="24"/>
                <w:szCs w:val="24"/>
              </w:rPr>
              <w:t>700</w:t>
            </w:r>
          </w:p>
        </w:tc>
      </w:tr>
      <w:tr w:rsidR="00F63D3D" w:rsidTr="00F63D3D">
        <w:tc>
          <w:tcPr>
            <w:tcW w:w="2515" w:type="dxa"/>
          </w:tcPr>
          <w:p w:rsidR="00F63D3D" w:rsidRPr="00F63D3D" w:rsidRDefault="00F63D3D" w:rsidP="00F63D3D">
            <w:pPr>
              <w:rPr>
                <w:rFonts w:ascii="Times New Roman" w:hAnsi="Times New Roman" w:cs="Times New Roman"/>
                <w:b/>
                <w:sz w:val="24"/>
                <w:szCs w:val="24"/>
              </w:rPr>
            </w:pPr>
            <w:r w:rsidRPr="00F63D3D">
              <w:rPr>
                <w:rFonts w:ascii="Times New Roman" w:hAnsi="Times New Roman" w:cs="Times New Roman"/>
                <w:b/>
                <w:sz w:val="24"/>
                <w:szCs w:val="24"/>
              </w:rPr>
              <w:t>Total</w:t>
            </w:r>
            <w:r>
              <w:rPr>
                <w:rFonts w:ascii="Times New Roman" w:hAnsi="Times New Roman" w:cs="Times New Roman"/>
                <w:b/>
                <w:sz w:val="24"/>
                <w:szCs w:val="24"/>
              </w:rPr>
              <w:t xml:space="preserve"> in dollars</w:t>
            </w:r>
          </w:p>
        </w:tc>
        <w:tc>
          <w:tcPr>
            <w:tcW w:w="1864" w:type="dxa"/>
          </w:tcPr>
          <w:p w:rsidR="00F63D3D" w:rsidRPr="00F63D3D" w:rsidRDefault="00F63D3D" w:rsidP="00830B89">
            <w:pPr>
              <w:jc w:val="both"/>
              <w:rPr>
                <w:rFonts w:ascii="Times New Roman" w:hAnsi="Times New Roman" w:cs="Times New Roman"/>
                <w:b/>
                <w:sz w:val="24"/>
                <w:szCs w:val="24"/>
              </w:rPr>
            </w:pPr>
          </w:p>
        </w:tc>
        <w:tc>
          <w:tcPr>
            <w:tcW w:w="2123" w:type="dxa"/>
          </w:tcPr>
          <w:p w:rsidR="00F63D3D" w:rsidRPr="00F63D3D" w:rsidRDefault="00F63D3D" w:rsidP="00F465DB">
            <w:pPr>
              <w:jc w:val="right"/>
              <w:rPr>
                <w:rFonts w:ascii="Times New Roman" w:hAnsi="Times New Roman" w:cs="Times New Roman"/>
                <w:b/>
                <w:sz w:val="24"/>
                <w:szCs w:val="24"/>
              </w:rPr>
            </w:pPr>
          </w:p>
        </w:tc>
        <w:tc>
          <w:tcPr>
            <w:tcW w:w="2128" w:type="dxa"/>
          </w:tcPr>
          <w:p w:rsidR="00F63D3D" w:rsidRPr="00F63D3D" w:rsidRDefault="00F63D3D" w:rsidP="00F465DB">
            <w:pPr>
              <w:jc w:val="right"/>
              <w:rPr>
                <w:rFonts w:ascii="Times New Roman" w:hAnsi="Times New Roman" w:cs="Times New Roman"/>
                <w:b/>
                <w:sz w:val="24"/>
                <w:szCs w:val="24"/>
              </w:rPr>
            </w:pPr>
            <w:r w:rsidRPr="00F63D3D">
              <w:rPr>
                <w:rFonts w:ascii="Times New Roman" w:hAnsi="Times New Roman" w:cs="Times New Roman"/>
                <w:b/>
                <w:sz w:val="24"/>
                <w:szCs w:val="24"/>
              </w:rPr>
              <w:t>5820</w:t>
            </w:r>
          </w:p>
        </w:tc>
      </w:tr>
    </w:tbl>
    <w:p w:rsidR="003A3260" w:rsidRPr="00830B89" w:rsidRDefault="003A3260" w:rsidP="00830B89">
      <w:pPr>
        <w:spacing w:after="0" w:line="240" w:lineRule="auto"/>
        <w:ind w:left="720"/>
        <w:jc w:val="both"/>
        <w:rPr>
          <w:rFonts w:ascii="Times New Roman" w:hAnsi="Times New Roman" w:cs="Times New Roman"/>
          <w:b/>
          <w:sz w:val="24"/>
          <w:szCs w:val="24"/>
        </w:rPr>
      </w:pPr>
    </w:p>
    <w:p w:rsidR="0001431C" w:rsidRDefault="0001431C"/>
    <w:sectPr w:rsidR="00014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71A6"/>
    <w:multiLevelType w:val="hybridMultilevel"/>
    <w:tmpl w:val="3392E606"/>
    <w:lvl w:ilvl="0" w:tplc="D944C16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DF45F2F"/>
    <w:multiLevelType w:val="hybridMultilevel"/>
    <w:tmpl w:val="FB0203FE"/>
    <w:lvl w:ilvl="0" w:tplc="4BCC593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AB174EE"/>
    <w:multiLevelType w:val="hybridMultilevel"/>
    <w:tmpl w:val="5ECA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73A3A"/>
    <w:multiLevelType w:val="hybridMultilevel"/>
    <w:tmpl w:val="FC6A12A8"/>
    <w:lvl w:ilvl="0" w:tplc="B4FCA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64DEF"/>
    <w:multiLevelType w:val="hybridMultilevel"/>
    <w:tmpl w:val="507617B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1789D"/>
    <w:multiLevelType w:val="hybridMultilevel"/>
    <w:tmpl w:val="C7E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47CC9"/>
    <w:multiLevelType w:val="hybridMultilevel"/>
    <w:tmpl w:val="DB78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22F2E"/>
    <w:multiLevelType w:val="hybridMultilevel"/>
    <w:tmpl w:val="816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89"/>
    <w:rsid w:val="0001431C"/>
    <w:rsid w:val="00015CA8"/>
    <w:rsid w:val="00034A03"/>
    <w:rsid w:val="0006483C"/>
    <w:rsid w:val="00064913"/>
    <w:rsid w:val="00093023"/>
    <w:rsid w:val="000A4A93"/>
    <w:rsid w:val="00111F8C"/>
    <w:rsid w:val="0012200C"/>
    <w:rsid w:val="00124E8D"/>
    <w:rsid w:val="001865F7"/>
    <w:rsid w:val="001B4EF6"/>
    <w:rsid w:val="001E4AE8"/>
    <w:rsid w:val="001E671E"/>
    <w:rsid w:val="002419E0"/>
    <w:rsid w:val="00246809"/>
    <w:rsid w:val="00284652"/>
    <w:rsid w:val="002D0772"/>
    <w:rsid w:val="002D287E"/>
    <w:rsid w:val="002D3317"/>
    <w:rsid w:val="002F62D3"/>
    <w:rsid w:val="00317616"/>
    <w:rsid w:val="00331924"/>
    <w:rsid w:val="00331CD2"/>
    <w:rsid w:val="00342071"/>
    <w:rsid w:val="00357A7B"/>
    <w:rsid w:val="003A1EB5"/>
    <w:rsid w:val="003A3260"/>
    <w:rsid w:val="003B30DE"/>
    <w:rsid w:val="003C3DCE"/>
    <w:rsid w:val="0044400D"/>
    <w:rsid w:val="00444254"/>
    <w:rsid w:val="00445BE2"/>
    <w:rsid w:val="004B3851"/>
    <w:rsid w:val="004E7385"/>
    <w:rsid w:val="005175BE"/>
    <w:rsid w:val="0052285C"/>
    <w:rsid w:val="00540269"/>
    <w:rsid w:val="00567E60"/>
    <w:rsid w:val="005A0292"/>
    <w:rsid w:val="005F3B41"/>
    <w:rsid w:val="0060006E"/>
    <w:rsid w:val="006B1998"/>
    <w:rsid w:val="006B3B86"/>
    <w:rsid w:val="006D7E7E"/>
    <w:rsid w:val="006E21CA"/>
    <w:rsid w:val="006E25DE"/>
    <w:rsid w:val="00720275"/>
    <w:rsid w:val="00731739"/>
    <w:rsid w:val="0076075A"/>
    <w:rsid w:val="00767E10"/>
    <w:rsid w:val="007A494F"/>
    <w:rsid w:val="007B49B9"/>
    <w:rsid w:val="007C1092"/>
    <w:rsid w:val="007F725B"/>
    <w:rsid w:val="008101F4"/>
    <w:rsid w:val="00830B89"/>
    <w:rsid w:val="00833998"/>
    <w:rsid w:val="00840C4F"/>
    <w:rsid w:val="00854487"/>
    <w:rsid w:val="00856F85"/>
    <w:rsid w:val="00871AEC"/>
    <w:rsid w:val="00886E85"/>
    <w:rsid w:val="008953C1"/>
    <w:rsid w:val="008A3921"/>
    <w:rsid w:val="008A4FA2"/>
    <w:rsid w:val="008C5C25"/>
    <w:rsid w:val="008D3ABA"/>
    <w:rsid w:val="008E40BD"/>
    <w:rsid w:val="008F2390"/>
    <w:rsid w:val="00902085"/>
    <w:rsid w:val="0094557D"/>
    <w:rsid w:val="00945B85"/>
    <w:rsid w:val="0098077E"/>
    <w:rsid w:val="009B5DC5"/>
    <w:rsid w:val="009B65A3"/>
    <w:rsid w:val="009C663F"/>
    <w:rsid w:val="009D6D27"/>
    <w:rsid w:val="009E6DAC"/>
    <w:rsid w:val="00AB3D88"/>
    <w:rsid w:val="00AC61C5"/>
    <w:rsid w:val="00B0390E"/>
    <w:rsid w:val="00BA5881"/>
    <w:rsid w:val="00C34697"/>
    <w:rsid w:val="00C61E1E"/>
    <w:rsid w:val="00C91768"/>
    <w:rsid w:val="00CD094B"/>
    <w:rsid w:val="00CD5C42"/>
    <w:rsid w:val="00CE4A42"/>
    <w:rsid w:val="00CE5E85"/>
    <w:rsid w:val="00D57AD0"/>
    <w:rsid w:val="00D63010"/>
    <w:rsid w:val="00D65EEF"/>
    <w:rsid w:val="00D76DAB"/>
    <w:rsid w:val="00D77BB7"/>
    <w:rsid w:val="00D82DC5"/>
    <w:rsid w:val="00D92622"/>
    <w:rsid w:val="00DB28DC"/>
    <w:rsid w:val="00DC1374"/>
    <w:rsid w:val="00DD7BD8"/>
    <w:rsid w:val="00DE09F5"/>
    <w:rsid w:val="00E31996"/>
    <w:rsid w:val="00E63292"/>
    <w:rsid w:val="00E82047"/>
    <w:rsid w:val="00EA5ED0"/>
    <w:rsid w:val="00ED4129"/>
    <w:rsid w:val="00ED41B3"/>
    <w:rsid w:val="00F465DB"/>
    <w:rsid w:val="00F47E0A"/>
    <w:rsid w:val="00F5022B"/>
    <w:rsid w:val="00F554D2"/>
    <w:rsid w:val="00F63D3D"/>
    <w:rsid w:val="00F84488"/>
    <w:rsid w:val="00FA0E01"/>
    <w:rsid w:val="00FC5EF7"/>
    <w:rsid w:val="00FE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C5EC"/>
  <w15:docId w15:val="{478E6A60-66E3-434D-960C-6AE8D666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CD2"/>
    <w:rPr>
      <w:color w:val="0000FF" w:themeColor="hyperlink"/>
      <w:u w:val="single"/>
    </w:rPr>
  </w:style>
  <w:style w:type="paragraph" w:styleId="NormalWeb">
    <w:name w:val="Normal (Web)"/>
    <w:basedOn w:val="Normal"/>
    <w:uiPriority w:val="99"/>
    <w:unhideWhenUsed/>
    <w:rsid w:val="006B3B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3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20216">
      <w:bodyDiv w:val="1"/>
      <w:marLeft w:val="0"/>
      <w:marRight w:val="0"/>
      <w:marTop w:val="0"/>
      <w:marBottom w:val="0"/>
      <w:divBdr>
        <w:top w:val="none" w:sz="0" w:space="0" w:color="auto"/>
        <w:left w:val="none" w:sz="0" w:space="0" w:color="auto"/>
        <w:bottom w:val="none" w:sz="0" w:space="0" w:color="auto"/>
        <w:right w:val="none" w:sz="0" w:space="0" w:color="auto"/>
      </w:divBdr>
    </w:div>
    <w:div w:id="586236433">
      <w:bodyDiv w:val="1"/>
      <w:marLeft w:val="0"/>
      <w:marRight w:val="0"/>
      <w:marTop w:val="0"/>
      <w:marBottom w:val="0"/>
      <w:divBdr>
        <w:top w:val="none" w:sz="0" w:space="0" w:color="auto"/>
        <w:left w:val="none" w:sz="0" w:space="0" w:color="auto"/>
        <w:bottom w:val="none" w:sz="0" w:space="0" w:color="auto"/>
        <w:right w:val="none" w:sz="0" w:space="0" w:color="auto"/>
      </w:divBdr>
    </w:div>
    <w:div w:id="18861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erhandsgambia@gmail.com" TargetMode="External"/><Relationship Id="rId13" Type="http://schemas.openxmlformats.org/officeDocument/2006/relationships/hyperlink" Target="https://www.unesco.org/en/data-center" TargetMode="External"/><Relationship Id="rId3" Type="http://schemas.openxmlformats.org/officeDocument/2006/relationships/settings" Target="settings.xml"/><Relationship Id="rId7" Type="http://schemas.openxmlformats.org/officeDocument/2006/relationships/hyperlink" Target="https://www.facebook.com/people/Bha-Bha/100065756954624/" TargetMode="External"/><Relationship Id="rId12" Type="http://schemas.openxmlformats.org/officeDocument/2006/relationships/hyperlink" Target="https://genderdata.worldbank.org/indicators/se-prm-cmpt-zs/?gender=female&amp;gender=male&amp;geos=ERI_SWZ_ETH_GMB_GHA_KEN_LSO_LBR_MWI_MOZ_NGA_RWA_SLE_SOM_SSD_TZA_UGA_ZMB_ZWE&amp;groups=incomeGroup&amp;view=b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hagambia.org/" TargetMode="External"/><Relationship Id="rId11" Type="http://schemas.openxmlformats.org/officeDocument/2006/relationships/hyperlink" Target="http://www.edugambia.gm/data-area/publications/year-book-2023.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unicef.org/media/100141/file/Gambia-2020-COAR.pdf" TargetMode="External"/><Relationship Id="rId4" Type="http://schemas.openxmlformats.org/officeDocument/2006/relationships/webSettings" Target="webSettings.xml"/><Relationship Id="rId9" Type="http://schemas.openxmlformats.org/officeDocument/2006/relationships/hyperlink" Target="https://www.worldbank.org/en/news/press-release/2022/06/23/70-of-10-year-olds-now-in-learning-poverty-unable-to-read-and-understand-a-simple-text" TargetMode="External"/><Relationship Id="rId14" Type="http://schemas.openxmlformats.org/officeDocument/2006/relationships/hyperlink" Target="https://genderdata.worldbank.org/indicators/se-ter-enrr/?geos=ERI_SWZ_ETH_GMB_GHA_KEN_LSO_LBR_MWI_NGA_RWA_SLE_SOM_SSD_TZA_UGA_ZMB_ZWE&amp;view=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Entrapment</dc:creator>
  <cp:lastModifiedBy>Betterhands</cp:lastModifiedBy>
  <cp:revision>8</cp:revision>
  <dcterms:created xsi:type="dcterms:W3CDTF">2025-01-05T23:18:00Z</dcterms:created>
  <dcterms:modified xsi:type="dcterms:W3CDTF">2025-01-06T00:54:00Z</dcterms:modified>
</cp:coreProperties>
</file>