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The School of Hope - Impact</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Our belief is that everyone, no matter their background, has the ability to be in control of their own destiny. And we give the community of Jocotenango the ability to do just that.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Our wide ranging programmes ensure that students are fed, clothed, have safe water to drink and any medical and mental health issues are cared for. Students then have the best chance of thriving from the education they receive. Our admissions process ensures that those accepted would not have had access to an education without us. Our curriculum follows the Guatemalan curriculum and along with academic tuition we focus on wellbeing, health and entrepreneurial skills. Students leave us with a wide range of abilities that suit their own abilities and aspirations.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After middle school, our students leave the School of Hope but we continue to support over 200 via a scholarship based further education and career guidance programme. Ultimately our aim is to build our own high school, ideally on a plot of land near to the current school, to the benefit  of the whole community. We aim high, despite the obstacles in our way.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Our programmes’ effect on Jocotenango is wide ranging. Over 20 years, hundreds of our alumni are now working in stable jobs which allow small businesses to open and thrive. The School of Hope is not just a place of learning but a place of community. Our parents are fundamental to its success. From our school council, parent conferences, yearly graduation ceremonies and social based workshops such as parenting skills or minimizing gang participation to community lead health initiatives such as vaccination programmes.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also partner with many local organisations many via links with staff. These include WINGS who run reproductive health programmes and a football after-school mentor program led by Ready, Set, Go!  Everything that we do at The School of Hope seeks to demonstrate how students, staff, parents and the community can both benefit and contribute.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We measure, monitor and share impact both quantitatively through measures such as academic test results, dropout rates, work status post graduation, BMI statistics, heath checks, pregnancy rates and qualitatively through anecdotal evidence such as involvement in gangs, willingness to attend after-school clubs, students returning to volunteer with younger students. An important part of this assessment is student satisfaction and we have a school council who are an integral part of both collecting and sharing data. </w:t>
      </w:r>
    </w:p>
    <w:p w:rsidR="00000000" w:rsidDel="00000000" w:rsidP="00000000" w:rsidRDefault="00000000" w:rsidRPr="00000000" w14:paraId="0000000E">
      <w:pPr>
        <w:pageBreakBefore w:val="0"/>
        <w:rPr>
          <w:color w:val="333333"/>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